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2B01C" w14:textId="40A9C4CE" w:rsidR="005F7372" w:rsidRDefault="002E2E0F">
      <w:pPr>
        <w:rPr>
          <w:lang w:val="en-ZA"/>
        </w:rPr>
      </w:pPr>
      <w:r w:rsidRPr="005F4DAF">
        <w:rPr>
          <w:rFonts w:ascii="Arial" w:hAnsi="Arial" w:cs="Arial"/>
          <w:noProof/>
          <w:lang w:val="en-ZA" w:eastAsia="en-ZA"/>
        </w:rPr>
        <w:drawing>
          <wp:anchor distT="0" distB="0" distL="114300" distR="114300" simplePos="0" relativeHeight="251656192" behindDoc="0" locked="0" layoutInCell="1" allowOverlap="1" wp14:anchorId="4BEFE329" wp14:editId="198A6B38">
            <wp:simplePos x="0" y="0"/>
            <wp:positionH relativeFrom="margin">
              <wp:align>center</wp:align>
            </wp:positionH>
            <wp:positionV relativeFrom="paragraph">
              <wp:posOffset>5080</wp:posOffset>
            </wp:positionV>
            <wp:extent cx="2182495" cy="1405255"/>
            <wp:effectExtent l="0" t="0" r="8255" b="4445"/>
            <wp:wrapSquare wrapText="bothSides"/>
            <wp:docPr id="2" name="Picture 2" descr="C:\Users\user\Documents\Branding and Advertising\Final Templates\Logo\OHSC Hi-r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Branding and Advertising\Final Templates\Logo\OHSC Hi-res Logo.jpg"/>
                    <pic:cNvPicPr>
                      <a:picLocks noChangeAspect="1" noChangeArrowheads="1"/>
                    </pic:cNvPicPr>
                  </pic:nvPicPr>
                  <pic:blipFill>
                    <a:blip r:embed="rId8" cstate="print"/>
                    <a:srcRect/>
                    <a:stretch>
                      <a:fillRect/>
                    </a:stretch>
                  </pic:blipFill>
                  <pic:spPr bwMode="auto">
                    <a:xfrm>
                      <a:off x="0" y="0"/>
                      <a:ext cx="2182495" cy="14052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5282896" w14:textId="77777777" w:rsidR="002E2E0F" w:rsidRDefault="002E2E0F">
      <w:pPr>
        <w:rPr>
          <w:lang w:val="en-ZA"/>
        </w:rPr>
      </w:pPr>
    </w:p>
    <w:p w14:paraId="12894DE2" w14:textId="77777777" w:rsidR="002E2E0F" w:rsidRDefault="002E2E0F">
      <w:pPr>
        <w:rPr>
          <w:lang w:val="en-ZA"/>
        </w:rPr>
      </w:pPr>
    </w:p>
    <w:p w14:paraId="433FE12E" w14:textId="77777777" w:rsidR="002E2E0F" w:rsidRDefault="002E2E0F">
      <w:pPr>
        <w:rPr>
          <w:lang w:val="en-ZA"/>
        </w:rPr>
      </w:pPr>
    </w:p>
    <w:p w14:paraId="30BE75D6" w14:textId="77777777" w:rsidR="002E2E0F" w:rsidRDefault="002E2E0F">
      <w:pPr>
        <w:rPr>
          <w:lang w:val="en-ZA"/>
        </w:rPr>
      </w:pPr>
    </w:p>
    <w:p w14:paraId="4E1F9164" w14:textId="27C2157E" w:rsidR="002E2E0F" w:rsidRPr="00532874" w:rsidRDefault="00532874" w:rsidP="00D17875">
      <w:pPr>
        <w:spacing w:after="120" w:line="240" w:lineRule="auto"/>
        <w:rPr>
          <w:u w:val="single"/>
          <w:lang w:val="en-ZA"/>
        </w:rPr>
      </w:pPr>
      <w:r>
        <w:rPr>
          <w:u w:val="single"/>
          <w:lang w:val="en-ZA"/>
        </w:rPr>
        <w:tab/>
      </w:r>
      <w:r>
        <w:rPr>
          <w:u w:val="single"/>
          <w:lang w:val="en-ZA"/>
        </w:rPr>
        <w:tab/>
      </w:r>
      <w:r>
        <w:rPr>
          <w:u w:val="single"/>
          <w:lang w:val="en-ZA"/>
        </w:rPr>
        <w:tab/>
      </w:r>
      <w:r>
        <w:rPr>
          <w:u w:val="single"/>
          <w:lang w:val="en-ZA"/>
        </w:rPr>
        <w:tab/>
      </w:r>
      <w:r>
        <w:rPr>
          <w:u w:val="single"/>
          <w:lang w:val="en-ZA"/>
        </w:rPr>
        <w:tab/>
      </w:r>
      <w:r>
        <w:rPr>
          <w:u w:val="single"/>
          <w:lang w:val="en-ZA"/>
        </w:rPr>
        <w:tab/>
      </w:r>
      <w:r>
        <w:rPr>
          <w:u w:val="single"/>
          <w:lang w:val="en-ZA"/>
        </w:rPr>
        <w:tab/>
      </w:r>
      <w:r>
        <w:rPr>
          <w:u w:val="single"/>
          <w:lang w:val="en-ZA"/>
        </w:rPr>
        <w:tab/>
      </w:r>
      <w:r>
        <w:rPr>
          <w:u w:val="single"/>
          <w:lang w:val="en-ZA"/>
        </w:rPr>
        <w:tab/>
      </w:r>
      <w:r>
        <w:rPr>
          <w:u w:val="single"/>
          <w:lang w:val="en-ZA"/>
        </w:rPr>
        <w:tab/>
      </w:r>
      <w:r>
        <w:rPr>
          <w:u w:val="single"/>
          <w:lang w:val="en-ZA"/>
        </w:rPr>
        <w:tab/>
      </w:r>
      <w:r>
        <w:rPr>
          <w:u w:val="single"/>
          <w:lang w:val="en-ZA"/>
        </w:rPr>
        <w:tab/>
      </w:r>
      <w:r w:rsidR="00E85926">
        <w:rPr>
          <w:u w:val="single"/>
          <w:lang w:val="en-ZA"/>
        </w:rPr>
        <w:tab/>
      </w:r>
      <w:r w:rsidR="00E85926">
        <w:rPr>
          <w:u w:val="single"/>
          <w:lang w:val="en-ZA"/>
        </w:rPr>
        <w:tab/>
      </w:r>
    </w:p>
    <w:p w14:paraId="52D0BE9A" w14:textId="0C0AF9FC" w:rsidR="002E2E0F" w:rsidRPr="00846CB7" w:rsidRDefault="0007479B" w:rsidP="00D17875">
      <w:pPr>
        <w:spacing w:after="120" w:line="240" w:lineRule="auto"/>
        <w:jc w:val="center"/>
        <w:rPr>
          <w:rFonts w:ascii="Arial" w:hAnsi="Arial" w:cs="Arial"/>
          <w:b/>
          <w:bCs/>
        </w:rPr>
      </w:pPr>
      <w:r w:rsidRPr="38E1F4EA">
        <w:rPr>
          <w:rFonts w:ascii="Arial" w:hAnsi="Arial" w:cs="Arial"/>
          <w:b/>
          <w:bCs/>
        </w:rPr>
        <w:t xml:space="preserve"> INFORMATION ON THE </w:t>
      </w:r>
      <w:r w:rsidR="002E2E0F" w:rsidRPr="38E1F4EA">
        <w:rPr>
          <w:rFonts w:ascii="Arial" w:hAnsi="Arial" w:cs="Arial"/>
          <w:b/>
          <w:bCs/>
        </w:rPr>
        <w:t>REVIEW OF THE NORMS AND STANDARDS REGULATIONS</w:t>
      </w:r>
    </w:p>
    <w:p w14:paraId="43D4A68D" w14:textId="55AFF775" w:rsidR="002E2E0F" w:rsidRPr="00846CB7" w:rsidRDefault="002E2E0F" w:rsidP="00D17875">
      <w:pPr>
        <w:spacing w:after="120" w:line="240" w:lineRule="auto"/>
        <w:rPr>
          <w:rFonts w:ascii="Arial" w:hAnsi="Arial" w:cs="Arial"/>
          <w:b/>
          <w:bCs/>
          <w:u w:val="single"/>
          <w:lang w:val="en-ZA"/>
        </w:rPr>
      </w:pPr>
      <w:r w:rsidRPr="00846CB7">
        <w:rPr>
          <w:rFonts w:ascii="Arial" w:hAnsi="Arial" w:cs="Arial"/>
          <w:b/>
          <w:bCs/>
          <w:u w:val="single"/>
          <w:lang w:val="en-ZA"/>
        </w:rPr>
        <w:tab/>
      </w:r>
      <w:r w:rsidRPr="00846CB7">
        <w:rPr>
          <w:rFonts w:ascii="Arial" w:hAnsi="Arial" w:cs="Arial"/>
          <w:b/>
          <w:bCs/>
          <w:u w:val="single"/>
          <w:lang w:val="en-ZA"/>
        </w:rPr>
        <w:tab/>
      </w:r>
      <w:r w:rsidRPr="00846CB7">
        <w:rPr>
          <w:rFonts w:ascii="Arial" w:hAnsi="Arial" w:cs="Arial"/>
          <w:b/>
          <w:bCs/>
          <w:u w:val="single"/>
          <w:lang w:val="en-ZA"/>
        </w:rPr>
        <w:tab/>
      </w:r>
      <w:r w:rsidRPr="00846CB7">
        <w:rPr>
          <w:rFonts w:ascii="Arial" w:hAnsi="Arial" w:cs="Arial"/>
          <w:b/>
          <w:bCs/>
          <w:u w:val="single"/>
          <w:lang w:val="en-ZA"/>
        </w:rPr>
        <w:tab/>
      </w:r>
      <w:r w:rsidRPr="00846CB7">
        <w:rPr>
          <w:rFonts w:ascii="Arial" w:hAnsi="Arial" w:cs="Arial"/>
          <w:b/>
          <w:bCs/>
          <w:u w:val="single"/>
          <w:lang w:val="en-ZA"/>
        </w:rPr>
        <w:tab/>
      </w:r>
      <w:r w:rsidRPr="00846CB7">
        <w:rPr>
          <w:rFonts w:ascii="Arial" w:hAnsi="Arial" w:cs="Arial"/>
          <w:b/>
          <w:bCs/>
          <w:u w:val="single"/>
          <w:lang w:val="en-ZA"/>
        </w:rPr>
        <w:tab/>
      </w:r>
      <w:r w:rsidRPr="00846CB7">
        <w:rPr>
          <w:rFonts w:ascii="Arial" w:hAnsi="Arial" w:cs="Arial"/>
          <w:b/>
          <w:bCs/>
          <w:u w:val="single"/>
          <w:lang w:val="en-ZA"/>
        </w:rPr>
        <w:tab/>
      </w:r>
      <w:r w:rsidRPr="00846CB7">
        <w:rPr>
          <w:rFonts w:ascii="Arial" w:hAnsi="Arial" w:cs="Arial"/>
          <w:b/>
          <w:bCs/>
          <w:u w:val="single"/>
          <w:lang w:val="en-ZA"/>
        </w:rPr>
        <w:tab/>
      </w:r>
      <w:r w:rsidRPr="00846CB7">
        <w:rPr>
          <w:rFonts w:ascii="Arial" w:hAnsi="Arial" w:cs="Arial"/>
          <w:b/>
          <w:bCs/>
          <w:u w:val="single"/>
          <w:lang w:val="en-ZA"/>
        </w:rPr>
        <w:tab/>
      </w:r>
      <w:r w:rsidRPr="00846CB7">
        <w:rPr>
          <w:rFonts w:ascii="Arial" w:hAnsi="Arial" w:cs="Arial"/>
          <w:b/>
          <w:bCs/>
          <w:u w:val="single"/>
          <w:lang w:val="en-ZA"/>
        </w:rPr>
        <w:tab/>
      </w:r>
      <w:r w:rsidRPr="00846CB7">
        <w:rPr>
          <w:rFonts w:ascii="Arial" w:hAnsi="Arial" w:cs="Arial"/>
          <w:b/>
          <w:bCs/>
          <w:u w:val="single"/>
          <w:lang w:val="en-ZA"/>
        </w:rPr>
        <w:tab/>
      </w:r>
      <w:r w:rsidRPr="00846CB7">
        <w:rPr>
          <w:rFonts w:ascii="Arial" w:hAnsi="Arial" w:cs="Arial"/>
          <w:b/>
          <w:bCs/>
          <w:u w:val="single"/>
          <w:lang w:val="en-ZA"/>
        </w:rPr>
        <w:tab/>
      </w:r>
      <w:r w:rsidR="00E85926" w:rsidRPr="00846CB7">
        <w:rPr>
          <w:rFonts w:ascii="Arial" w:hAnsi="Arial" w:cs="Arial"/>
          <w:b/>
          <w:bCs/>
          <w:u w:val="single"/>
          <w:lang w:val="en-ZA"/>
        </w:rPr>
        <w:tab/>
      </w:r>
      <w:r w:rsidR="00E85926" w:rsidRPr="00846CB7">
        <w:rPr>
          <w:rFonts w:ascii="Arial" w:hAnsi="Arial" w:cs="Arial"/>
          <w:b/>
          <w:bCs/>
          <w:u w:val="single"/>
          <w:lang w:val="en-ZA"/>
        </w:rPr>
        <w:tab/>
      </w:r>
    </w:p>
    <w:p w14:paraId="390FEA35" w14:textId="77777777" w:rsidR="0027548F" w:rsidRPr="00846CB7" w:rsidRDefault="0027548F" w:rsidP="001523D4">
      <w:pPr>
        <w:pStyle w:val="ListParagraph"/>
        <w:spacing w:after="0"/>
        <w:rPr>
          <w:rFonts w:ascii="Arial" w:hAnsi="Arial" w:cs="Arial"/>
          <w:b/>
          <w:bCs/>
          <w:lang w:val="en-ZA"/>
        </w:rPr>
      </w:pPr>
    </w:p>
    <w:p w14:paraId="777A8D8B" w14:textId="1BC6411F" w:rsidR="002E2E0F" w:rsidRPr="00846CB7" w:rsidRDefault="00110520" w:rsidP="000E5942">
      <w:pPr>
        <w:pStyle w:val="ListParagraph"/>
        <w:numPr>
          <w:ilvl w:val="0"/>
          <w:numId w:val="26"/>
        </w:numPr>
        <w:rPr>
          <w:rFonts w:ascii="Arial" w:hAnsi="Arial" w:cs="Arial"/>
          <w:b/>
          <w:bCs/>
          <w:lang w:val="en-ZA"/>
        </w:rPr>
      </w:pPr>
      <w:r w:rsidRPr="38E1F4EA">
        <w:rPr>
          <w:rFonts w:ascii="Arial" w:hAnsi="Arial" w:cs="Arial"/>
          <w:b/>
          <w:bCs/>
          <w:lang w:val="en-ZA"/>
        </w:rPr>
        <w:t>EXECUTIVE SUMMARY</w:t>
      </w:r>
    </w:p>
    <w:p w14:paraId="27204649" w14:textId="12B2DF4A" w:rsidR="6C9C24EE" w:rsidRDefault="0022088E" w:rsidP="2FCDEA49">
      <w:pPr>
        <w:ind w:left="360"/>
        <w:jc w:val="both"/>
        <w:rPr>
          <w:rFonts w:ascii="Arial" w:hAnsi="Arial" w:cs="Arial"/>
          <w:lang w:val="en-ZA"/>
        </w:rPr>
      </w:pPr>
      <w:r>
        <w:rPr>
          <w:rFonts w:ascii="Arial" w:hAnsi="Arial" w:cs="Arial"/>
          <w:lang w:val="en-ZA"/>
        </w:rPr>
        <w:t>In January 2022, the Office of Health Standards Compliance (OHSC) submitted a report of recommendations to the National Department of Health (NDOH) proposing revisions to the regulations. This was followed by a presentation of the proposal to the NDOH Senior Management Team on 24 August 2024, at which consensus was reached to proceed with a structured review process. It was agreed that the process would be led by a Technical Working Group (TWG) convened by the OHSC, with active participation from key stakeholders across the health sector.</w:t>
      </w:r>
    </w:p>
    <w:p w14:paraId="50B84EE9" w14:textId="5F58E364" w:rsidR="001E66FC" w:rsidRPr="00846CB7" w:rsidRDefault="00D70648" w:rsidP="001E66FC">
      <w:pPr>
        <w:ind w:left="360"/>
        <w:jc w:val="both"/>
        <w:rPr>
          <w:rFonts w:ascii="Arial" w:hAnsi="Arial" w:cs="Arial"/>
          <w:lang w:val="en-ZA"/>
        </w:rPr>
      </w:pPr>
      <w:r>
        <w:rPr>
          <w:rFonts w:ascii="Arial" w:hAnsi="Arial" w:cs="Arial"/>
          <w:lang w:val="en-ZA"/>
        </w:rPr>
        <w:t xml:space="preserve">Following the consultation process, with the NDoH as the custodian of the regulations, the Office of Health Standards Compliance (OHSC) initiated a comprehensive review of the current norms and standards regulations promulgated in 2018 for health establishments to ensure they remain responsive to evolving health system reforms, emerging patient safety risks, and advances in clinical practice. </w:t>
      </w:r>
    </w:p>
    <w:p w14:paraId="6276AB29" w14:textId="77777777" w:rsidR="009F2A82" w:rsidRPr="00846CB7" w:rsidRDefault="00367CC9" w:rsidP="009F2A82">
      <w:pPr>
        <w:ind w:left="360"/>
        <w:jc w:val="both"/>
        <w:rPr>
          <w:rFonts w:ascii="Arial" w:hAnsi="Arial" w:cs="Arial"/>
        </w:rPr>
      </w:pPr>
      <w:r w:rsidRPr="00846CB7">
        <w:rPr>
          <w:rFonts w:ascii="Arial" w:hAnsi="Arial" w:cs="Arial"/>
        </w:rPr>
        <w:t>The review seeks to strengthen the clarity, measurability, and enforceability of compliance requirements, while aligning regulatory expectations with national health priorities and internationally recognised best practices in healthcare quality and safety.</w:t>
      </w:r>
    </w:p>
    <w:p w14:paraId="4C4124C6" w14:textId="3FB95B11" w:rsidR="001E66FC" w:rsidRDefault="0022088E" w:rsidP="0022088E">
      <w:pPr>
        <w:ind w:left="360"/>
        <w:jc w:val="both"/>
      </w:pPr>
      <w:r>
        <w:rPr>
          <w:rFonts w:ascii="Arial" w:hAnsi="Arial" w:cs="Arial"/>
        </w:rPr>
        <w:t>Through a transparent, consultative process with key stakeholders across the health sector, the revised norms and standards aim to improve the quality of care, reinforce accountability, and strengthen public confidence in South Africa’s healthcare system. The review will also support the broader national agenda to improve health system performance and ensure consistent, safe, and patient-centred care across all health establishments.</w:t>
      </w:r>
    </w:p>
    <w:p w14:paraId="7CDA5F22" w14:textId="77777777" w:rsidR="0022088E" w:rsidRPr="0022088E" w:rsidRDefault="0022088E" w:rsidP="0022088E">
      <w:pPr>
        <w:spacing w:after="0"/>
        <w:ind w:left="360"/>
        <w:jc w:val="both"/>
      </w:pPr>
    </w:p>
    <w:p w14:paraId="45B45964" w14:textId="17323213" w:rsidR="00237934" w:rsidRPr="00846CB7" w:rsidRDefault="00110520" w:rsidP="000E5942">
      <w:pPr>
        <w:pStyle w:val="ListParagraph"/>
        <w:numPr>
          <w:ilvl w:val="0"/>
          <w:numId w:val="26"/>
        </w:numPr>
        <w:jc w:val="both"/>
        <w:rPr>
          <w:rFonts w:ascii="Arial" w:hAnsi="Arial" w:cs="Arial"/>
          <w:b/>
          <w:bCs/>
          <w:lang w:val="en-ZA"/>
        </w:rPr>
      </w:pPr>
      <w:r w:rsidRPr="00846CB7">
        <w:rPr>
          <w:rFonts w:ascii="Arial" w:hAnsi="Arial" w:cs="Arial"/>
          <w:b/>
          <w:bCs/>
          <w:lang w:val="en-ZA"/>
        </w:rPr>
        <w:t>INSTITUTIONAL CONTEXT</w:t>
      </w:r>
    </w:p>
    <w:p w14:paraId="22DA21F4" w14:textId="77777777" w:rsidR="00F95AB5" w:rsidRDefault="00EA5B67" w:rsidP="00A93B9A">
      <w:pPr>
        <w:pStyle w:val="Pa21"/>
        <w:spacing w:line="276" w:lineRule="auto"/>
        <w:ind w:left="360"/>
        <w:jc w:val="both"/>
        <w:rPr>
          <w:rFonts w:ascii="Arial" w:hAnsi="Arial" w:cs="Arial"/>
          <w:sz w:val="22"/>
          <w:szCs w:val="22"/>
        </w:rPr>
      </w:pPr>
      <w:r w:rsidRPr="00846CB7">
        <w:rPr>
          <w:rFonts w:ascii="Arial" w:hAnsi="Arial" w:cs="Arial"/>
          <w:sz w:val="22"/>
          <w:szCs w:val="22"/>
        </w:rPr>
        <w:t>The OHSC was established in terms of the National Health Act</w:t>
      </w:r>
      <w:r w:rsidR="00E61AB2" w:rsidRPr="00846CB7">
        <w:rPr>
          <w:rFonts w:ascii="Arial" w:hAnsi="Arial" w:cs="Arial"/>
          <w:color w:val="000000"/>
          <w:sz w:val="22"/>
          <w:szCs w:val="22"/>
        </w:rPr>
        <w:t>, No. 61 of 2003 (as amended)</w:t>
      </w:r>
      <w:r w:rsidR="0047743A" w:rsidRPr="00846CB7">
        <w:rPr>
          <w:rFonts w:ascii="Arial" w:hAnsi="Arial" w:cs="Arial"/>
          <w:color w:val="000000"/>
          <w:sz w:val="22"/>
          <w:szCs w:val="22"/>
        </w:rPr>
        <w:t>,</w:t>
      </w:r>
      <w:r w:rsidRPr="00846CB7">
        <w:rPr>
          <w:rFonts w:ascii="Arial" w:hAnsi="Arial" w:cs="Arial"/>
          <w:sz w:val="22"/>
          <w:szCs w:val="22"/>
        </w:rPr>
        <w:t xml:space="preserve"> to protect and promote the health and safety of users of health services by monitoring and enforcing compliance with prescribed norms and standards in healthcare establishments across South Africa.</w:t>
      </w:r>
      <w:r w:rsidR="0047743A" w:rsidRPr="00846CB7">
        <w:rPr>
          <w:rFonts w:ascii="Arial" w:hAnsi="Arial" w:cs="Arial"/>
          <w:sz w:val="22"/>
          <w:szCs w:val="22"/>
        </w:rPr>
        <w:t xml:space="preserve"> </w:t>
      </w:r>
    </w:p>
    <w:p w14:paraId="5578CD7F" w14:textId="77777777" w:rsidR="00F95AB5" w:rsidRDefault="00F95AB5" w:rsidP="00A93B9A">
      <w:pPr>
        <w:pStyle w:val="Pa21"/>
        <w:spacing w:line="276" w:lineRule="auto"/>
        <w:ind w:left="360"/>
        <w:jc w:val="both"/>
        <w:rPr>
          <w:rFonts w:ascii="Arial" w:hAnsi="Arial" w:cs="Arial"/>
          <w:sz w:val="22"/>
          <w:szCs w:val="22"/>
        </w:rPr>
      </w:pPr>
    </w:p>
    <w:p w14:paraId="715EA378" w14:textId="77777777" w:rsidR="00F95AB5" w:rsidRDefault="0047743A" w:rsidP="00A93B9A">
      <w:pPr>
        <w:pStyle w:val="Pa21"/>
        <w:spacing w:line="276" w:lineRule="auto"/>
        <w:ind w:left="360"/>
        <w:jc w:val="both"/>
        <w:rPr>
          <w:rFonts w:ascii="Arial" w:hAnsi="Arial" w:cs="Arial"/>
          <w:color w:val="000000"/>
          <w:sz w:val="22"/>
          <w:szCs w:val="22"/>
        </w:rPr>
      </w:pPr>
      <w:r w:rsidRPr="00846CB7">
        <w:rPr>
          <w:rFonts w:ascii="Arial" w:hAnsi="Arial" w:cs="Arial"/>
          <w:color w:val="000000"/>
          <w:sz w:val="22"/>
          <w:szCs w:val="22"/>
        </w:rPr>
        <w:t xml:space="preserve">The OHSC fulfils its mandate by monitoring and enforcing compliance with the norms and standards prescribed by the Minister of Health, and by ensuring the consideration, investigation, and disposal of complaints relating to non-compliance with those norms and standards in a procedurally fair, economical, and expeditious manner. </w:t>
      </w:r>
    </w:p>
    <w:p w14:paraId="0C9016A7" w14:textId="77777777" w:rsidR="00F95AB5" w:rsidRDefault="00F95AB5" w:rsidP="00A93B9A">
      <w:pPr>
        <w:pStyle w:val="Pa21"/>
        <w:spacing w:line="276" w:lineRule="auto"/>
        <w:ind w:left="360"/>
        <w:jc w:val="both"/>
        <w:rPr>
          <w:rFonts w:ascii="Arial" w:hAnsi="Arial" w:cs="Arial"/>
          <w:color w:val="000000"/>
          <w:sz w:val="22"/>
          <w:szCs w:val="22"/>
        </w:rPr>
      </w:pPr>
    </w:p>
    <w:p w14:paraId="75C3033F" w14:textId="56B22DB3" w:rsidR="00EA5B67" w:rsidRPr="00846CB7" w:rsidRDefault="0047743A" w:rsidP="00A93B9A">
      <w:pPr>
        <w:pStyle w:val="Pa21"/>
        <w:spacing w:line="276" w:lineRule="auto"/>
        <w:ind w:left="360"/>
        <w:jc w:val="both"/>
        <w:rPr>
          <w:rFonts w:ascii="Arial" w:eastAsia="Aptos" w:hAnsi="Arial" w:cs="Arial"/>
          <w:sz w:val="22"/>
          <w:szCs w:val="22"/>
        </w:rPr>
      </w:pPr>
      <w:r w:rsidRPr="00846CB7">
        <w:rPr>
          <w:rFonts w:ascii="Arial" w:eastAsia="Aptos" w:hAnsi="Arial" w:cs="Arial"/>
          <w:sz w:val="22"/>
          <w:szCs w:val="22"/>
        </w:rPr>
        <w:t xml:space="preserve">Under Section 79 of the NHAA, the OHSC must or may further advise the Minister on matters relating to norms and standards for the national health system, the review of such norms and standards, or any other matter referred to it by the Minister. </w:t>
      </w:r>
    </w:p>
    <w:p w14:paraId="3B7CB5B0" w14:textId="77777777" w:rsidR="00F95AB5" w:rsidRDefault="00F95AB5" w:rsidP="00110520">
      <w:pPr>
        <w:ind w:left="360"/>
        <w:jc w:val="both"/>
        <w:rPr>
          <w:rFonts w:ascii="Arial" w:hAnsi="Arial" w:cs="Arial"/>
        </w:rPr>
      </w:pPr>
    </w:p>
    <w:p w14:paraId="027B47CB" w14:textId="0EC1CA5B" w:rsidR="00B2301B" w:rsidRPr="00846CB7" w:rsidRDefault="00B2301B" w:rsidP="00110520">
      <w:pPr>
        <w:ind w:left="360"/>
        <w:jc w:val="both"/>
        <w:rPr>
          <w:rFonts w:ascii="Arial" w:hAnsi="Arial" w:cs="Arial"/>
        </w:rPr>
      </w:pPr>
      <w:r w:rsidRPr="00846CB7">
        <w:rPr>
          <w:rFonts w:ascii="Arial" w:hAnsi="Arial" w:cs="Arial"/>
        </w:rPr>
        <w:lastRenderedPageBreak/>
        <w:t>As the country advances broader health system reforms and strengthens its focus on quality assurance and patient safety, the OHSC plays a critical role in ensuring that regulatory frameworks remain relevant, evidence-based, and responsive to emerging challenges in healthcare delivery.</w:t>
      </w:r>
    </w:p>
    <w:p w14:paraId="4AA5E126" w14:textId="77777777" w:rsidR="00110520" w:rsidRPr="00846CB7" w:rsidRDefault="00110520" w:rsidP="00110520">
      <w:pPr>
        <w:ind w:left="360"/>
        <w:jc w:val="both"/>
        <w:rPr>
          <w:rFonts w:ascii="Arial" w:hAnsi="Arial" w:cs="Arial"/>
        </w:rPr>
      </w:pPr>
      <w:r w:rsidRPr="00846CB7">
        <w:rPr>
          <w:rFonts w:ascii="Arial" w:hAnsi="Arial" w:cs="Arial"/>
        </w:rPr>
        <w:t>The review of the Norms and Standards Regulations is therefore aligned with the OHSC’s statutory mandate to promote safe, high-quality healthcare and to continuously improve the effectiveness of regulatory oversight within the health system.</w:t>
      </w:r>
    </w:p>
    <w:p w14:paraId="55737D97" w14:textId="77777777" w:rsidR="00110520" w:rsidRPr="00846CB7" w:rsidRDefault="00110520" w:rsidP="0022088E">
      <w:pPr>
        <w:spacing w:after="0"/>
        <w:ind w:left="360"/>
        <w:jc w:val="both"/>
        <w:rPr>
          <w:rFonts w:ascii="Arial" w:hAnsi="Arial" w:cs="Arial"/>
        </w:rPr>
      </w:pPr>
    </w:p>
    <w:p w14:paraId="4E7832AA" w14:textId="38517951" w:rsidR="00B240DE" w:rsidRPr="00846CB7" w:rsidRDefault="00D526C6" w:rsidP="000E5942">
      <w:pPr>
        <w:pStyle w:val="ListParagraph"/>
        <w:numPr>
          <w:ilvl w:val="0"/>
          <w:numId w:val="26"/>
        </w:numPr>
        <w:jc w:val="both"/>
        <w:rPr>
          <w:rFonts w:ascii="Arial" w:hAnsi="Arial" w:cs="Arial"/>
          <w:b/>
          <w:bCs/>
          <w:lang w:val="en-ZA"/>
        </w:rPr>
      </w:pPr>
      <w:r w:rsidRPr="00846CB7">
        <w:rPr>
          <w:rFonts w:ascii="Arial" w:hAnsi="Arial" w:cs="Arial"/>
          <w:b/>
          <w:bCs/>
          <w:lang w:val="en-ZA"/>
        </w:rPr>
        <w:t>BACKGROUND AND RATIONALE FOR THE REVIEW</w:t>
      </w:r>
    </w:p>
    <w:p w14:paraId="3CF0DC6B" w14:textId="175B9FEF" w:rsidR="00D526C6" w:rsidRPr="00846CB7" w:rsidRDefault="00291945" w:rsidP="00686811">
      <w:pPr>
        <w:ind w:left="360"/>
        <w:jc w:val="both"/>
        <w:rPr>
          <w:rFonts w:ascii="Arial" w:hAnsi="Arial" w:cs="Arial"/>
        </w:rPr>
      </w:pPr>
      <w:r>
        <w:rPr>
          <w:rFonts w:ascii="Arial" w:hAnsi="Arial" w:cs="Arial"/>
        </w:rPr>
        <w:t>The Minister of Health promulgated the current Norms and Standards Regulations</w:t>
      </w:r>
      <w:r w:rsidR="00D526C6" w:rsidRPr="00846CB7">
        <w:rPr>
          <w:rFonts w:ascii="Arial" w:hAnsi="Arial" w:cs="Arial"/>
        </w:rPr>
        <w:t xml:space="preserve"> in February 2018 and came into effect in February 2019.</w:t>
      </w:r>
    </w:p>
    <w:p w14:paraId="62A9AC05" w14:textId="77777777" w:rsidR="00686811" w:rsidRPr="00846CB7" w:rsidRDefault="00686811" w:rsidP="00686811">
      <w:pPr>
        <w:ind w:left="360"/>
        <w:jc w:val="both"/>
        <w:rPr>
          <w:rFonts w:ascii="Arial" w:hAnsi="Arial" w:cs="Arial"/>
        </w:rPr>
      </w:pPr>
      <w:r w:rsidRPr="00846CB7">
        <w:rPr>
          <w:rFonts w:ascii="Arial" w:hAnsi="Arial" w:cs="Arial"/>
        </w:rPr>
        <w:t>Following the promulgation of the regulations, the OHSC initiated a phased implementation approach. Inspections of public healthcare clinics commenced during the 2019/20 and 2020/21 financial years on an incremental basis, while inspection tools for other levels of care were progressively developed and implemented.</w:t>
      </w:r>
    </w:p>
    <w:p w14:paraId="26F5234A" w14:textId="77777777" w:rsidR="00ED6EAC" w:rsidRPr="00846CB7" w:rsidRDefault="000B43C2" w:rsidP="00ED6EAC">
      <w:pPr>
        <w:ind w:left="360"/>
        <w:jc w:val="both"/>
        <w:rPr>
          <w:rFonts w:ascii="Arial" w:hAnsi="Arial" w:cs="Arial"/>
        </w:rPr>
      </w:pPr>
      <w:r w:rsidRPr="00846CB7">
        <w:rPr>
          <w:rFonts w:ascii="Arial" w:hAnsi="Arial" w:cs="Arial"/>
        </w:rPr>
        <w:t>During the development of inspection tools and the subsequent implementation of the regulations, certain limitations were identified in the scope and specificity of some requirements relating to healthcare quality and patient safety.</w:t>
      </w:r>
      <w:r w:rsidR="00ED6EAC" w:rsidRPr="00846CB7">
        <w:rPr>
          <w:rFonts w:ascii="Arial" w:hAnsi="Arial" w:cs="Arial"/>
        </w:rPr>
        <w:t xml:space="preserve"> </w:t>
      </w:r>
    </w:p>
    <w:p w14:paraId="37796CA8" w14:textId="577E64FD" w:rsidR="00ED6EAC" w:rsidRPr="00846CB7" w:rsidRDefault="00ED6EAC" w:rsidP="00ED6EAC">
      <w:pPr>
        <w:ind w:left="360"/>
        <w:jc w:val="both"/>
        <w:rPr>
          <w:rFonts w:ascii="Arial" w:hAnsi="Arial" w:cs="Arial"/>
        </w:rPr>
      </w:pPr>
      <w:r w:rsidRPr="00846CB7">
        <w:rPr>
          <w:rFonts w:ascii="Arial" w:hAnsi="Arial" w:cs="Arial"/>
        </w:rPr>
        <w:t>These include, among others:</w:t>
      </w:r>
    </w:p>
    <w:p w14:paraId="484A3815" w14:textId="77777777" w:rsidR="00ED6EAC" w:rsidRPr="00846CB7" w:rsidRDefault="00ED6EAC" w:rsidP="00ED6EAC">
      <w:pPr>
        <w:numPr>
          <w:ilvl w:val="0"/>
          <w:numId w:val="34"/>
        </w:numPr>
        <w:tabs>
          <w:tab w:val="clear" w:pos="720"/>
          <w:tab w:val="num" w:pos="1080"/>
        </w:tabs>
        <w:ind w:left="1080"/>
        <w:jc w:val="both"/>
        <w:rPr>
          <w:rFonts w:ascii="Arial" w:hAnsi="Arial" w:cs="Arial"/>
        </w:rPr>
      </w:pPr>
      <w:r w:rsidRPr="00846CB7">
        <w:rPr>
          <w:rFonts w:ascii="Arial" w:hAnsi="Arial" w:cs="Arial"/>
        </w:rPr>
        <w:t>More detailed infection prevention and control requirements in specialised units such as neonatal care units</w:t>
      </w:r>
    </w:p>
    <w:p w14:paraId="6256494E" w14:textId="77777777" w:rsidR="00ED6EAC" w:rsidRPr="00846CB7" w:rsidRDefault="00ED6EAC" w:rsidP="00ED6EAC">
      <w:pPr>
        <w:numPr>
          <w:ilvl w:val="0"/>
          <w:numId w:val="34"/>
        </w:numPr>
        <w:tabs>
          <w:tab w:val="clear" w:pos="720"/>
          <w:tab w:val="num" w:pos="1080"/>
        </w:tabs>
        <w:ind w:left="1080"/>
        <w:jc w:val="both"/>
        <w:rPr>
          <w:rFonts w:ascii="Arial" w:hAnsi="Arial" w:cs="Arial"/>
        </w:rPr>
      </w:pPr>
      <w:r w:rsidRPr="00846CB7">
        <w:rPr>
          <w:rFonts w:ascii="Arial" w:hAnsi="Arial" w:cs="Arial"/>
        </w:rPr>
        <w:t>Stronger emphasis on patient-centred care</w:t>
      </w:r>
    </w:p>
    <w:p w14:paraId="234720B6" w14:textId="77777777" w:rsidR="00ED6EAC" w:rsidRPr="00846CB7" w:rsidRDefault="00ED6EAC" w:rsidP="00ED6EAC">
      <w:pPr>
        <w:numPr>
          <w:ilvl w:val="0"/>
          <w:numId w:val="34"/>
        </w:numPr>
        <w:tabs>
          <w:tab w:val="clear" w:pos="720"/>
          <w:tab w:val="num" w:pos="1080"/>
        </w:tabs>
        <w:ind w:left="1080"/>
        <w:jc w:val="both"/>
        <w:rPr>
          <w:rFonts w:ascii="Arial" w:hAnsi="Arial" w:cs="Arial"/>
        </w:rPr>
      </w:pPr>
      <w:r w:rsidRPr="00846CB7">
        <w:rPr>
          <w:rFonts w:ascii="Arial" w:hAnsi="Arial" w:cs="Arial"/>
        </w:rPr>
        <w:t>Improved provisions relating to medication availability and management across different levels of care</w:t>
      </w:r>
    </w:p>
    <w:p w14:paraId="7ABEA4C1" w14:textId="77777777" w:rsidR="00ED6EAC" w:rsidRPr="00846CB7" w:rsidRDefault="00ED6EAC" w:rsidP="00ED6EAC">
      <w:pPr>
        <w:numPr>
          <w:ilvl w:val="0"/>
          <w:numId w:val="34"/>
        </w:numPr>
        <w:tabs>
          <w:tab w:val="clear" w:pos="720"/>
          <w:tab w:val="num" w:pos="1080"/>
        </w:tabs>
        <w:ind w:left="1080"/>
        <w:jc w:val="both"/>
        <w:rPr>
          <w:rFonts w:ascii="Arial" w:hAnsi="Arial" w:cs="Arial"/>
        </w:rPr>
      </w:pPr>
      <w:r w:rsidRPr="00846CB7">
        <w:rPr>
          <w:rFonts w:ascii="Arial" w:hAnsi="Arial" w:cs="Arial"/>
        </w:rPr>
        <w:t>More explicit requirements for the reporting and management of patient safety incidents</w:t>
      </w:r>
    </w:p>
    <w:p w14:paraId="7EC37A9E" w14:textId="77777777" w:rsidR="00ED6EAC" w:rsidRPr="00846CB7" w:rsidRDefault="00ED6EAC" w:rsidP="00ED6EAC">
      <w:pPr>
        <w:ind w:left="360"/>
        <w:jc w:val="both"/>
        <w:rPr>
          <w:rFonts w:ascii="Arial" w:hAnsi="Arial" w:cs="Arial"/>
        </w:rPr>
      </w:pPr>
      <w:r w:rsidRPr="00846CB7">
        <w:rPr>
          <w:rFonts w:ascii="Arial" w:hAnsi="Arial" w:cs="Arial"/>
        </w:rPr>
        <w:t>These gaps were anticipated to some extent, as the initial Norms and Standards Regulations were designed to establish a foundational regulatory framework rather than to comprehensively address all aspects of quality and safety in health service delivery.</w:t>
      </w:r>
    </w:p>
    <w:p w14:paraId="57105AE0" w14:textId="7F818368" w:rsidR="004E0DFE" w:rsidRPr="00846CB7" w:rsidRDefault="004E0DFE" w:rsidP="00A93B9A">
      <w:pPr>
        <w:spacing w:after="0"/>
        <w:ind w:firstLine="360"/>
        <w:jc w:val="both"/>
        <w:rPr>
          <w:rFonts w:ascii="Arial" w:hAnsi="Arial" w:cs="Arial"/>
        </w:rPr>
      </w:pPr>
      <w:r w:rsidRPr="00846CB7">
        <w:rPr>
          <w:rFonts w:ascii="Arial" w:hAnsi="Arial" w:cs="Arial"/>
        </w:rPr>
        <w:t>This review</w:t>
      </w:r>
      <w:r w:rsidR="00CF0A45" w:rsidRPr="00846CB7">
        <w:rPr>
          <w:rFonts w:ascii="Arial" w:hAnsi="Arial" w:cs="Arial"/>
        </w:rPr>
        <w:t>,</w:t>
      </w:r>
      <w:r w:rsidR="00F066B6" w:rsidRPr="00846CB7">
        <w:rPr>
          <w:rFonts w:ascii="Arial" w:hAnsi="Arial" w:cs="Arial"/>
        </w:rPr>
        <w:t xml:space="preserve"> therefore</w:t>
      </w:r>
      <w:r w:rsidR="00CF0A45" w:rsidRPr="00846CB7">
        <w:rPr>
          <w:rFonts w:ascii="Arial" w:hAnsi="Arial" w:cs="Arial"/>
        </w:rPr>
        <w:t>,</w:t>
      </w:r>
      <w:r w:rsidRPr="00846CB7">
        <w:rPr>
          <w:rFonts w:ascii="Arial" w:hAnsi="Arial" w:cs="Arial"/>
        </w:rPr>
        <w:t xml:space="preserve"> aims to:</w:t>
      </w:r>
    </w:p>
    <w:p w14:paraId="297B3006" w14:textId="77777777" w:rsidR="004E0DFE" w:rsidRPr="00846CB7" w:rsidRDefault="004E0DFE" w:rsidP="00A93B9A">
      <w:pPr>
        <w:numPr>
          <w:ilvl w:val="0"/>
          <w:numId w:val="41"/>
        </w:numPr>
        <w:tabs>
          <w:tab w:val="clear" w:pos="1080"/>
        </w:tabs>
        <w:spacing w:after="0" w:line="278" w:lineRule="auto"/>
        <w:jc w:val="both"/>
        <w:rPr>
          <w:rFonts w:ascii="Arial" w:hAnsi="Arial" w:cs="Arial"/>
        </w:rPr>
      </w:pPr>
      <w:r w:rsidRPr="00846CB7">
        <w:rPr>
          <w:rFonts w:ascii="Arial" w:hAnsi="Arial" w:cs="Arial"/>
        </w:rPr>
        <w:t>strengthen the regulatory framework by addressing identified gaps and limitations, ensuring that the norms and standards are robust, risk-informed, and responsive to the evolving healthcare environment</w:t>
      </w:r>
    </w:p>
    <w:p w14:paraId="4A22EA9D" w14:textId="551AE496" w:rsidR="004E0DFE" w:rsidRPr="00846CB7" w:rsidRDefault="004E0DFE" w:rsidP="00CF0A45">
      <w:pPr>
        <w:numPr>
          <w:ilvl w:val="0"/>
          <w:numId w:val="41"/>
        </w:numPr>
        <w:tabs>
          <w:tab w:val="clear" w:pos="1080"/>
        </w:tabs>
        <w:spacing w:after="0" w:line="278" w:lineRule="auto"/>
        <w:jc w:val="both"/>
        <w:rPr>
          <w:rFonts w:ascii="Arial" w:hAnsi="Arial" w:cs="Arial"/>
        </w:rPr>
      </w:pPr>
      <w:r w:rsidRPr="00846CB7">
        <w:rPr>
          <w:rFonts w:ascii="Arial" w:hAnsi="Arial" w:cs="Arial"/>
        </w:rPr>
        <w:t>enhance the comprehensiveness and applicability of the regulations across a wider range of health establishment categories, including the measurement of health outcomes</w:t>
      </w:r>
    </w:p>
    <w:p w14:paraId="388F6892" w14:textId="77777777" w:rsidR="004E0DFE" w:rsidRPr="00846CB7" w:rsidRDefault="004E0DFE" w:rsidP="00A93B9A">
      <w:pPr>
        <w:numPr>
          <w:ilvl w:val="0"/>
          <w:numId w:val="41"/>
        </w:numPr>
        <w:tabs>
          <w:tab w:val="clear" w:pos="1080"/>
        </w:tabs>
        <w:spacing w:after="0" w:line="278" w:lineRule="auto"/>
        <w:jc w:val="both"/>
        <w:rPr>
          <w:rFonts w:ascii="Arial" w:hAnsi="Arial" w:cs="Arial"/>
        </w:rPr>
      </w:pPr>
      <w:r w:rsidRPr="00846CB7">
        <w:rPr>
          <w:rFonts w:ascii="Arial" w:hAnsi="Arial" w:cs="Arial"/>
        </w:rPr>
        <w:t>Strengthen patient safety and clinical outcomes</w:t>
      </w:r>
    </w:p>
    <w:p w14:paraId="70AB7337" w14:textId="77777777" w:rsidR="004E0DFE" w:rsidRPr="00846CB7" w:rsidRDefault="004E0DFE" w:rsidP="00A93B9A">
      <w:pPr>
        <w:numPr>
          <w:ilvl w:val="0"/>
          <w:numId w:val="41"/>
        </w:numPr>
        <w:tabs>
          <w:tab w:val="clear" w:pos="1080"/>
        </w:tabs>
        <w:spacing w:after="0" w:line="278" w:lineRule="auto"/>
        <w:jc w:val="both"/>
        <w:rPr>
          <w:rFonts w:ascii="Arial" w:hAnsi="Arial" w:cs="Arial"/>
        </w:rPr>
      </w:pPr>
      <w:r w:rsidRPr="00846CB7">
        <w:rPr>
          <w:rFonts w:ascii="Arial" w:hAnsi="Arial" w:cs="Arial"/>
        </w:rPr>
        <w:t>Enable consistent, fair, and enforceable regulation</w:t>
      </w:r>
    </w:p>
    <w:p w14:paraId="7C6FFE70" w14:textId="77777777" w:rsidR="004E0DFE" w:rsidRPr="00846CB7" w:rsidRDefault="004E0DFE" w:rsidP="00A93B9A">
      <w:pPr>
        <w:numPr>
          <w:ilvl w:val="0"/>
          <w:numId w:val="41"/>
        </w:numPr>
        <w:tabs>
          <w:tab w:val="clear" w:pos="1080"/>
        </w:tabs>
        <w:spacing w:after="0" w:line="278" w:lineRule="auto"/>
        <w:jc w:val="both"/>
        <w:rPr>
          <w:rFonts w:ascii="Arial" w:hAnsi="Arial" w:cs="Arial"/>
        </w:rPr>
      </w:pPr>
      <w:r w:rsidRPr="00846CB7">
        <w:rPr>
          <w:rFonts w:ascii="Arial" w:hAnsi="Arial" w:cs="Arial"/>
        </w:rPr>
        <w:t>Align with global best practices and local realities</w:t>
      </w:r>
    </w:p>
    <w:p w14:paraId="6F80F975" w14:textId="77777777" w:rsidR="004E0DFE" w:rsidRPr="00846CB7" w:rsidRDefault="004E0DFE" w:rsidP="00A93B9A">
      <w:pPr>
        <w:numPr>
          <w:ilvl w:val="0"/>
          <w:numId w:val="41"/>
        </w:numPr>
        <w:tabs>
          <w:tab w:val="clear" w:pos="1080"/>
        </w:tabs>
        <w:spacing w:after="0" w:line="278" w:lineRule="auto"/>
        <w:jc w:val="both"/>
        <w:rPr>
          <w:rFonts w:ascii="Arial" w:hAnsi="Arial" w:cs="Arial"/>
        </w:rPr>
      </w:pPr>
      <w:r w:rsidRPr="00846CB7">
        <w:rPr>
          <w:rFonts w:ascii="Arial" w:hAnsi="Arial" w:cs="Arial"/>
        </w:rPr>
        <w:t>Support system-wide reliability and resilience</w:t>
      </w:r>
    </w:p>
    <w:p w14:paraId="0B751750" w14:textId="77777777" w:rsidR="000B43C2" w:rsidRPr="00846CB7" w:rsidRDefault="000B43C2" w:rsidP="0022088E">
      <w:pPr>
        <w:spacing w:after="0"/>
        <w:jc w:val="both"/>
        <w:rPr>
          <w:rFonts w:ascii="Arial" w:hAnsi="Arial" w:cs="Arial"/>
        </w:rPr>
      </w:pPr>
    </w:p>
    <w:p w14:paraId="5A4A655A" w14:textId="4C07FB84" w:rsidR="0067296E" w:rsidRPr="00846CB7" w:rsidRDefault="0067296E" w:rsidP="00CA0BB6">
      <w:pPr>
        <w:pStyle w:val="ListParagraph"/>
        <w:numPr>
          <w:ilvl w:val="0"/>
          <w:numId w:val="26"/>
        </w:numPr>
        <w:jc w:val="both"/>
        <w:rPr>
          <w:rFonts w:ascii="Arial" w:hAnsi="Arial" w:cs="Arial"/>
          <w:b/>
          <w:bCs/>
        </w:rPr>
      </w:pPr>
      <w:r w:rsidRPr="00846CB7">
        <w:rPr>
          <w:rFonts w:ascii="Arial" w:hAnsi="Arial" w:cs="Arial"/>
          <w:b/>
          <w:bCs/>
        </w:rPr>
        <w:t>Technical Review Process</w:t>
      </w:r>
    </w:p>
    <w:p w14:paraId="58175E11" w14:textId="1B7972A5" w:rsidR="000727DC" w:rsidRPr="00846CB7" w:rsidRDefault="00305B41" w:rsidP="00CB48DE">
      <w:pPr>
        <w:ind w:left="360"/>
        <w:jc w:val="both"/>
        <w:rPr>
          <w:rFonts w:ascii="Arial" w:hAnsi="Arial" w:cs="Arial"/>
        </w:rPr>
      </w:pPr>
      <w:r w:rsidRPr="00846CB7">
        <w:rPr>
          <w:rFonts w:ascii="Arial" w:hAnsi="Arial" w:cs="Arial"/>
        </w:rPr>
        <w:t>Following consultation and agreement with the National Department of Health (NDoH), a</w:t>
      </w:r>
      <w:r w:rsidR="00BF417E" w:rsidRPr="00846CB7">
        <w:rPr>
          <w:rFonts w:ascii="Arial" w:hAnsi="Arial" w:cs="Arial"/>
        </w:rPr>
        <w:t xml:space="preserve"> National</w:t>
      </w:r>
      <w:r w:rsidRPr="00846CB7">
        <w:rPr>
          <w:rFonts w:ascii="Arial" w:hAnsi="Arial" w:cs="Arial"/>
        </w:rPr>
        <w:t xml:space="preserve"> Technical Working Group (</w:t>
      </w:r>
      <w:r w:rsidR="00444D16" w:rsidRPr="00846CB7">
        <w:rPr>
          <w:rFonts w:ascii="Arial" w:hAnsi="Arial" w:cs="Arial"/>
        </w:rPr>
        <w:t>N</w:t>
      </w:r>
      <w:r w:rsidRPr="00846CB7">
        <w:rPr>
          <w:rFonts w:ascii="Arial" w:hAnsi="Arial" w:cs="Arial"/>
        </w:rPr>
        <w:t>TWG) was established to guide the review of the Norms and Standards Regulations.</w:t>
      </w:r>
      <w:r w:rsidR="000727DC" w:rsidRPr="00846CB7">
        <w:rPr>
          <w:rFonts w:ascii="Arial" w:hAnsi="Arial" w:cs="Arial"/>
        </w:rPr>
        <w:t xml:space="preserve"> The TWG comprises representatives from:</w:t>
      </w:r>
    </w:p>
    <w:p w14:paraId="1380A592" w14:textId="37DC38F1" w:rsidR="000727DC" w:rsidRPr="00846CB7" w:rsidRDefault="000727DC" w:rsidP="00CB48DE">
      <w:pPr>
        <w:numPr>
          <w:ilvl w:val="0"/>
          <w:numId w:val="35"/>
        </w:numPr>
        <w:tabs>
          <w:tab w:val="clear" w:pos="720"/>
          <w:tab w:val="num" w:pos="1080"/>
        </w:tabs>
        <w:ind w:left="1080"/>
        <w:jc w:val="both"/>
        <w:rPr>
          <w:rFonts w:ascii="Arial" w:hAnsi="Arial" w:cs="Arial"/>
        </w:rPr>
      </w:pPr>
      <w:r w:rsidRPr="00846CB7">
        <w:rPr>
          <w:rFonts w:ascii="Arial" w:hAnsi="Arial" w:cs="Arial"/>
        </w:rPr>
        <w:t>National Department of Health</w:t>
      </w:r>
    </w:p>
    <w:p w14:paraId="495C7B06" w14:textId="77777777" w:rsidR="000727DC" w:rsidRPr="00846CB7" w:rsidRDefault="000727DC" w:rsidP="00CB48DE">
      <w:pPr>
        <w:numPr>
          <w:ilvl w:val="0"/>
          <w:numId w:val="35"/>
        </w:numPr>
        <w:tabs>
          <w:tab w:val="clear" w:pos="720"/>
          <w:tab w:val="num" w:pos="1080"/>
        </w:tabs>
        <w:ind w:left="1080"/>
        <w:jc w:val="both"/>
        <w:rPr>
          <w:rFonts w:ascii="Arial" w:hAnsi="Arial" w:cs="Arial"/>
        </w:rPr>
      </w:pPr>
      <w:r w:rsidRPr="00846CB7">
        <w:rPr>
          <w:rFonts w:ascii="Arial" w:hAnsi="Arial" w:cs="Arial"/>
        </w:rPr>
        <w:t>Provincial Departments of Health</w:t>
      </w:r>
    </w:p>
    <w:p w14:paraId="7BE87CBA" w14:textId="07C8DA12" w:rsidR="000727DC" w:rsidRPr="00846CB7" w:rsidRDefault="000727DC" w:rsidP="00CB48DE">
      <w:pPr>
        <w:numPr>
          <w:ilvl w:val="0"/>
          <w:numId w:val="35"/>
        </w:numPr>
        <w:tabs>
          <w:tab w:val="clear" w:pos="720"/>
          <w:tab w:val="num" w:pos="1080"/>
        </w:tabs>
        <w:ind w:left="1080"/>
        <w:jc w:val="both"/>
        <w:rPr>
          <w:rFonts w:ascii="Arial" w:hAnsi="Arial" w:cs="Arial"/>
        </w:rPr>
      </w:pPr>
      <w:r w:rsidRPr="2FCDEA49">
        <w:rPr>
          <w:rFonts w:ascii="Arial" w:hAnsi="Arial" w:cs="Arial"/>
        </w:rPr>
        <w:t>Hospital Association of South Africa (HASA)</w:t>
      </w:r>
    </w:p>
    <w:p w14:paraId="6192F783" w14:textId="58A8E608" w:rsidR="03F29778" w:rsidRDefault="03F29778" w:rsidP="2FCDEA49">
      <w:pPr>
        <w:numPr>
          <w:ilvl w:val="0"/>
          <w:numId w:val="35"/>
        </w:numPr>
        <w:tabs>
          <w:tab w:val="clear" w:pos="720"/>
          <w:tab w:val="num" w:pos="1080"/>
        </w:tabs>
        <w:ind w:left="1080"/>
        <w:jc w:val="both"/>
        <w:rPr>
          <w:rFonts w:ascii="Arial" w:hAnsi="Arial" w:cs="Arial"/>
        </w:rPr>
      </w:pPr>
      <w:r w:rsidRPr="2FCDEA49">
        <w:rPr>
          <w:rFonts w:ascii="Arial" w:hAnsi="Arial" w:cs="Arial"/>
        </w:rPr>
        <w:t>National Hospital Network (NHN)</w:t>
      </w:r>
    </w:p>
    <w:p w14:paraId="758EC438" w14:textId="0EF799A3" w:rsidR="03F29778" w:rsidRDefault="03F29778" w:rsidP="2FCDEA49">
      <w:pPr>
        <w:numPr>
          <w:ilvl w:val="0"/>
          <w:numId w:val="35"/>
        </w:numPr>
        <w:tabs>
          <w:tab w:val="clear" w:pos="720"/>
          <w:tab w:val="num" w:pos="1080"/>
        </w:tabs>
        <w:ind w:left="1080"/>
        <w:jc w:val="both"/>
        <w:rPr>
          <w:rFonts w:ascii="Arial" w:hAnsi="Arial" w:cs="Arial"/>
        </w:rPr>
      </w:pPr>
      <w:r w:rsidRPr="2FCDEA49">
        <w:rPr>
          <w:rFonts w:ascii="Arial" w:hAnsi="Arial" w:cs="Arial"/>
        </w:rPr>
        <w:t>Clinix Health Group</w:t>
      </w:r>
    </w:p>
    <w:p w14:paraId="2105ECD3" w14:textId="0DF07B5E" w:rsidR="000727DC" w:rsidRPr="00846CB7" w:rsidRDefault="000727DC" w:rsidP="00CB48DE">
      <w:pPr>
        <w:numPr>
          <w:ilvl w:val="0"/>
          <w:numId w:val="35"/>
        </w:numPr>
        <w:tabs>
          <w:tab w:val="clear" w:pos="720"/>
          <w:tab w:val="num" w:pos="1080"/>
        </w:tabs>
        <w:ind w:left="1080"/>
        <w:jc w:val="both"/>
        <w:rPr>
          <w:rFonts w:ascii="Arial" w:hAnsi="Arial" w:cs="Arial"/>
        </w:rPr>
      </w:pPr>
      <w:r w:rsidRPr="00846CB7">
        <w:rPr>
          <w:rFonts w:ascii="Arial" w:hAnsi="Arial" w:cs="Arial"/>
        </w:rPr>
        <w:t>Unity Forum for Family Practitioners</w:t>
      </w:r>
    </w:p>
    <w:p w14:paraId="7B5B1ADD" w14:textId="1A6D2FE4" w:rsidR="000727DC" w:rsidRPr="00846CB7" w:rsidRDefault="000727DC" w:rsidP="00CB48DE">
      <w:pPr>
        <w:numPr>
          <w:ilvl w:val="0"/>
          <w:numId w:val="35"/>
        </w:numPr>
        <w:tabs>
          <w:tab w:val="clear" w:pos="720"/>
          <w:tab w:val="num" w:pos="1080"/>
        </w:tabs>
        <w:ind w:left="1080"/>
        <w:jc w:val="both"/>
        <w:rPr>
          <w:rFonts w:ascii="Arial" w:hAnsi="Arial" w:cs="Arial"/>
        </w:rPr>
      </w:pPr>
      <w:r w:rsidRPr="00846CB7">
        <w:rPr>
          <w:rFonts w:ascii="Arial" w:hAnsi="Arial" w:cs="Arial"/>
        </w:rPr>
        <w:t>Office of Health Standards Compliance</w:t>
      </w:r>
    </w:p>
    <w:p w14:paraId="284A594E" w14:textId="24337F23" w:rsidR="00CB48DE" w:rsidRPr="00846CB7" w:rsidRDefault="00CB48DE" w:rsidP="001C7238">
      <w:pPr>
        <w:ind w:left="360"/>
        <w:jc w:val="both"/>
        <w:rPr>
          <w:rFonts w:ascii="Arial" w:hAnsi="Arial" w:cs="Arial"/>
        </w:rPr>
      </w:pPr>
      <w:r w:rsidRPr="00846CB7">
        <w:rPr>
          <w:rFonts w:ascii="Arial" w:hAnsi="Arial" w:cs="Arial"/>
        </w:rPr>
        <w:t xml:space="preserve">Members of the </w:t>
      </w:r>
      <w:r w:rsidR="00444D16" w:rsidRPr="00846CB7">
        <w:rPr>
          <w:rFonts w:ascii="Arial" w:hAnsi="Arial" w:cs="Arial"/>
        </w:rPr>
        <w:t>N</w:t>
      </w:r>
      <w:r w:rsidRPr="00846CB7">
        <w:rPr>
          <w:rFonts w:ascii="Arial" w:hAnsi="Arial" w:cs="Arial"/>
        </w:rPr>
        <w:t>TWG were nominated based on their technical expertise and sector representation. The group is responsible for supporting the technical review of the existing norms and standards and ensuring that proposed revisions are evidence-informed, practical, and aligned with current health system needs.</w:t>
      </w:r>
    </w:p>
    <w:p w14:paraId="41CEDB73" w14:textId="387E89BF" w:rsidR="001C7238" w:rsidRPr="00846CB7" w:rsidRDefault="001C7238" w:rsidP="001C7238">
      <w:pPr>
        <w:ind w:left="360"/>
        <w:jc w:val="both"/>
        <w:rPr>
          <w:rFonts w:ascii="Arial" w:hAnsi="Arial" w:cs="Arial"/>
        </w:rPr>
      </w:pPr>
      <w:r w:rsidRPr="00846CB7">
        <w:rPr>
          <w:rFonts w:ascii="Arial" w:hAnsi="Arial" w:cs="Arial"/>
        </w:rPr>
        <w:t xml:space="preserve">Key responsibilities of the </w:t>
      </w:r>
      <w:r w:rsidR="00444D16" w:rsidRPr="00846CB7">
        <w:rPr>
          <w:rFonts w:ascii="Arial" w:hAnsi="Arial" w:cs="Arial"/>
        </w:rPr>
        <w:t>N</w:t>
      </w:r>
      <w:r w:rsidRPr="00846CB7">
        <w:rPr>
          <w:rFonts w:ascii="Arial" w:hAnsi="Arial" w:cs="Arial"/>
        </w:rPr>
        <w:t>TWG include:</w:t>
      </w:r>
    </w:p>
    <w:p w14:paraId="37C59448" w14:textId="77777777" w:rsidR="001C7238" w:rsidRPr="00846CB7" w:rsidRDefault="001C7238" w:rsidP="001C7238">
      <w:pPr>
        <w:numPr>
          <w:ilvl w:val="0"/>
          <w:numId w:val="36"/>
        </w:numPr>
        <w:tabs>
          <w:tab w:val="clear" w:pos="720"/>
          <w:tab w:val="num" w:pos="1080"/>
        </w:tabs>
        <w:ind w:left="1080"/>
        <w:jc w:val="both"/>
        <w:rPr>
          <w:rFonts w:ascii="Arial" w:hAnsi="Arial" w:cs="Arial"/>
        </w:rPr>
      </w:pPr>
      <w:r w:rsidRPr="00846CB7">
        <w:rPr>
          <w:rFonts w:ascii="Arial" w:hAnsi="Arial" w:cs="Arial"/>
        </w:rPr>
        <w:t>Conducting a comprehensive review of the existing norms and standards</w:t>
      </w:r>
    </w:p>
    <w:p w14:paraId="31D66F44" w14:textId="77777777" w:rsidR="001C7238" w:rsidRPr="00846CB7" w:rsidRDefault="001C7238" w:rsidP="001C7238">
      <w:pPr>
        <w:numPr>
          <w:ilvl w:val="0"/>
          <w:numId w:val="36"/>
        </w:numPr>
        <w:tabs>
          <w:tab w:val="clear" w:pos="720"/>
          <w:tab w:val="num" w:pos="1080"/>
        </w:tabs>
        <w:ind w:left="1080"/>
        <w:jc w:val="both"/>
        <w:rPr>
          <w:rFonts w:ascii="Arial" w:hAnsi="Arial" w:cs="Arial"/>
        </w:rPr>
      </w:pPr>
      <w:r w:rsidRPr="00846CB7">
        <w:rPr>
          <w:rFonts w:ascii="Arial" w:hAnsi="Arial" w:cs="Arial"/>
        </w:rPr>
        <w:t>Reviewing relevant national and international regulatory frameworks and best practices</w:t>
      </w:r>
    </w:p>
    <w:p w14:paraId="0A7746C4" w14:textId="77777777" w:rsidR="001C7238" w:rsidRPr="00846CB7" w:rsidRDefault="001C7238" w:rsidP="001C7238">
      <w:pPr>
        <w:numPr>
          <w:ilvl w:val="0"/>
          <w:numId w:val="36"/>
        </w:numPr>
        <w:tabs>
          <w:tab w:val="clear" w:pos="720"/>
          <w:tab w:val="num" w:pos="1080"/>
        </w:tabs>
        <w:ind w:left="1080"/>
        <w:jc w:val="both"/>
        <w:rPr>
          <w:rFonts w:ascii="Arial" w:hAnsi="Arial" w:cs="Arial"/>
        </w:rPr>
      </w:pPr>
      <w:r w:rsidRPr="00846CB7">
        <w:rPr>
          <w:rFonts w:ascii="Arial" w:hAnsi="Arial" w:cs="Arial"/>
        </w:rPr>
        <w:t>Analysing inspection findings, quality improvement reports, and other relevant evidence</w:t>
      </w:r>
    </w:p>
    <w:p w14:paraId="1CE2967C" w14:textId="77777777" w:rsidR="001C7238" w:rsidRPr="00846CB7" w:rsidRDefault="001C7238" w:rsidP="001C7238">
      <w:pPr>
        <w:numPr>
          <w:ilvl w:val="0"/>
          <w:numId w:val="36"/>
        </w:numPr>
        <w:tabs>
          <w:tab w:val="clear" w:pos="720"/>
          <w:tab w:val="num" w:pos="1080"/>
        </w:tabs>
        <w:ind w:left="1080"/>
        <w:jc w:val="both"/>
        <w:rPr>
          <w:rFonts w:ascii="Arial" w:hAnsi="Arial" w:cs="Arial"/>
        </w:rPr>
      </w:pPr>
      <w:r w:rsidRPr="00846CB7">
        <w:rPr>
          <w:rFonts w:ascii="Arial" w:hAnsi="Arial" w:cs="Arial"/>
        </w:rPr>
        <w:t>Developing a Social and Economic Impact Assessment Study (SEIAS) to accompany the proposed regulatory amendments</w:t>
      </w:r>
    </w:p>
    <w:p w14:paraId="3BB3DF40" w14:textId="77777777" w:rsidR="001C7238" w:rsidRPr="00846CB7" w:rsidRDefault="001C7238" w:rsidP="001C7238">
      <w:pPr>
        <w:numPr>
          <w:ilvl w:val="0"/>
          <w:numId w:val="36"/>
        </w:numPr>
        <w:tabs>
          <w:tab w:val="clear" w:pos="720"/>
          <w:tab w:val="num" w:pos="1080"/>
        </w:tabs>
        <w:ind w:left="1080"/>
        <w:jc w:val="both"/>
        <w:rPr>
          <w:rFonts w:ascii="Arial" w:hAnsi="Arial" w:cs="Arial"/>
        </w:rPr>
      </w:pPr>
      <w:r w:rsidRPr="00846CB7">
        <w:rPr>
          <w:rFonts w:ascii="Arial" w:hAnsi="Arial" w:cs="Arial"/>
        </w:rPr>
        <w:t>Contributing to the development of a structured framework for reviewing norms, standards, and regulations</w:t>
      </w:r>
    </w:p>
    <w:p w14:paraId="7E8869AC" w14:textId="77777777" w:rsidR="001C7238" w:rsidRPr="00846CB7" w:rsidRDefault="001C7238" w:rsidP="001C7238">
      <w:pPr>
        <w:ind w:left="360"/>
        <w:jc w:val="both"/>
        <w:rPr>
          <w:rFonts w:ascii="Arial" w:hAnsi="Arial" w:cs="Arial"/>
        </w:rPr>
      </w:pPr>
      <w:r w:rsidRPr="00846CB7">
        <w:rPr>
          <w:rFonts w:ascii="Arial" w:hAnsi="Arial" w:cs="Arial"/>
        </w:rPr>
        <w:t>These activities are intended to ensure that the revised regulations are robust, implementable, and responsive to the operational realities of healthcare establishments.</w:t>
      </w:r>
    </w:p>
    <w:p w14:paraId="184FA08C" w14:textId="77777777" w:rsidR="001C7238" w:rsidRPr="00846CB7" w:rsidRDefault="001C7238" w:rsidP="0022088E">
      <w:pPr>
        <w:spacing w:after="0"/>
        <w:ind w:left="360"/>
        <w:jc w:val="both"/>
        <w:rPr>
          <w:rFonts w:ascii="Arial" w:hAnsi="Arial" w:cs="Arial"/>
        </w:rPr>
      </w:pPr>
    </w:p>
    <w:p w14:paraId="2DECF8E0" w14:textId="36D0307B" w:rsidR="00A316D0" w:rsidRPr="00846CB7" w:rsidRDefault="00A2716D" w:rsidP="00A316D0">
      <w:pPr>
        <w:ind w:left="360"/>
        <w:jc w:val="both"/>
        <w:rPr>
          <w:rFonts w:ascii="Arial" w:hAnsi="Arial" w:cs="Arial"/>
        </w:rPr>
      </w:pPr>
      <w:r w:rsidRPr="00846CB7">
        <w:rPr>
          <w:rFonts w:ascii="Arial" w:hAnsi="Arial" w:cs="Arial"/>
          <w:noProof/>
        </w:rPr>
        <w:drawing>
          <wp:anchor distT="0" distB="0" distL="114300" distR="114300" simplePos="0" relativeHeight="251659264" behindDoc="0" locked="0" layoutInCell="1" allowOverlap="1" wp14:anchorId="0CEEB17F" wp14:editId="2C51499C">
            <wp:simplePos x="0" y="0"/>
            <wp:positionH relativeFrom="margin">
              <wp:align>right</wp:align>
            </wp:positionH>
            <wp:positionV relativeFrom="paragraph">
              <wp:posOffset>210820</wp:posOffset>
            </wp:positionV>
            <wp:extent cx="6392545" cy="3768090"/>
            <wp:effectExtent l="0" t="0" r="8255" b="3810"/>
            <wp:wrapSquare wrapText="bothSides"/>
            <wp:docPr id="1002708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08700" name=""/>
                    <pic:cNvPicPr/>
                  </pic:nvPicPr>
                  <pic:blipFill>
                    <a:blip r:embed="rId9">
                      <a:extLst>
                        <a:ext uri="{28A0092B-C50C-407E-A947-70E740481C1C}">
                          <a14:useLocalDpi xmlns:a14="http://schemas.microsoft.com/office/drawing/2010/main" val="0"/>
                        </a:ext>
                      </a:extLst>
                    </a:blip>
                    <a:stretch>
                      <a:fillRect/>
                    </a:stretch>
                  </pic:blipFill>
                  <pic:spPr>
                    <a:xfrm>
                      <a:off x="0" y="0"/>
                      <a:ext cx="6392545" cy="3768090"/>
                    </a:xfrm>
                    <a:prstGeom prst="rect">
                      <a:avLst/>
                    </a:prstGeom>
                  </pic:spPr>
                </pic:pic>
              </a:graphicData>
            </a:graphic>
            <wp14:sizeRelH relativeFrom="page">
              <wp14:pctWidth>0</wp14:pctWidth>
            </wp14:sizeRelH>
            <wp14:sizeRelV relativeFrom="page">
              <wp14:pctHeight>0</wp14:pctHeight>
            </wp14:sizeRelV>
          </wp:anchor>
        </w:drawing>
      </w:r>
      <w:r w:rsidR="00A316D0" w:rsidRPr="00846CB7">
        <w:rPr>
          <w:rFonts w:ascii="Arial" w:hAnsi="Arial" w:cs="Arial"/>
          <w:b/>
          <w:bCs/>
        </w:rPr>
        <w:t>Sequence of Activities</w:t>
      </w:r>
    </w:p>
    <w:p w14:paraId="2B073EAF" w14:textId="2D79DAEB" w:rsidR="001C31D1" w:rsidRDefault="001C31D1" w:rsidP="0022088E">
      <w:pPr>
        <w:spacing w:after="0"/>
        <w:jc w:val="center"/>
        <w:rPr>
          <w:rFonts w:ascii="Arial" w:hAnsi="Arial" w:cs="Arial"/>
        </w:rPr>
      </w:pPr>
    </w:p>
    <w:p w14:paraId="0FF30490" w14:textId="77777777" w:rsidR="00624D72" w:rsidRDefault="00624D72" w:rsidP="0022088E">
      <w:pPr>
        <w:spacing w:after="0"/>
        <w:jc w:val="center"/>
        <w:rPr>
          <w:rFonts w:ascii="Arial" w:hAnsi="Arial" w:cs="Arial"/>
        </w:rPr>
      </w:pPr>
    </w:p>
    <w:p w14:paraId="79A8BD84" w14:textId="77777777" w:rsidR="00624D72" w:rsidRDefault="00624D72" w:rsidP="0022088E">
      <w:pPr>
        <w:spacing w:after="0"/>
        <w:jc w:val="center"/>
        <w:rPr>
          <w:rFonts w:ascii="Arial" w:hAnsi="Arial" w:cs="Arial"/>
        </w:rPr>
      </w:pPr>
    </w:p>
    <w:p w14:paraId="6F1B6400" w14:textId="77777777" w:rsidR="00624D72" w:rsidRPr="00846CB7" w:rsidRDefault="00624D72" w:rsidP="0022088E">
      <w:pPr>
        <w:spacing w:after="0"/>
        <w:jc w:val="center"/>
        <w:rPr>
          <w:rFonts w:ascii="Arial" w:hAnsi="Arial" w:cs="Arial"/>
        </w:rPr>
      </w:pPr>
    </w:p>
    <w:p w14:paraId="61E668A5" w14:textId="1B2EA080" w:rsidR="00B47656" w:rsidRPr="00846CB7" w:rsidRDefault="00B47656" w:rsidP="00033856">
      <w:pPr>
        <w:pStyle w:val="ListParagraph"/>
        <w:numPr>
          <w:ilvl w:val="0"/>
          <w:numId w:val="26"/>
        </w:numPr>
        <w:jc w:val="both"/>
        <w:rPr>
          <w:rFonts w:ascii="Arial" w:hAnsi="Arial" w:cs="Arial"/>
        </w:rPr>
      </w:pPr>
      <w:r w:rsidRPr="00846CB7">
        <w:rPr>
          <w:rFonts w:ascii="Arial" w:hAnsi="Arial" w:cs="Arial"/>
          <w:b/>
          <w:bCs/>
        </w:rPr>
        <w:t>Stakeholder Engagement</w:t>
      </w:r>
      <w:r w:rsidR="000104C5" w:rsidRPr="00846CB7">
        <w:rPr>
          <w:rFonts w:ascii="Arial" w:hAnsi="Arial" w:cs="Arial"/>
          <w:b/>
          <w:bCs/>
        </w:rPr>
        <w:t>, Impact and Expectation</w:t>
      </w:r>
    </w:p>
    <w:p w14:paraId="2C0D3AF3" w14:textId="37F4FE32" w:rsidR="006921A0" w:rsidRPr="00846CB7" w:rsidRDefault="004A1C14" w:rsidP="006921A0">
      <w:pPr>
        <w:ind w:left="360"/>
        <w:jc w:val="both"/>
        <w:rPr>
          <w:rFonts w:ascii="Arial" w:hAnsi="Arial" w:cs="Arial"/>
        </w:rPr>
      </w:pPr>
      <w:r w:rsidRPr="00846CB7">
        <w:rPr>
          <w:rFonts w:ascii="Arial" w:hAnsi="Arial" w:cs="Arial"/>
        </w:rPr>
        <w:t>S</w:t>
      </w:r>
      <w:r w:rsidR="007D0913" w:rsidRPr="00846CB7">
        <w:rPr>
          <w:rFonts w:ascii="Arial" w:hAnsi="Arial" w:cs="Arial"/>
        </w:rPr>
        <w:t>takeholder engagement is a critical component of the review process, ensuring that regulatory reforms are evidence-informed, practical, and responsive to the realities of healthcare delivery.</w:t>
      </w:r>
      <w:r w:rsidR="006921A0" w:rsidRPr="00846CB7">
        <w:rPr>
          <w:rFonts w:ascii="Arial" w:hAnsi="Arial" w:cs="Arial"/>
        </w:rPr>
        <w:t xml:space="preserve"> </w:t>
      </w:r>
    </w:p>
    <w:p w14:paraId="2E8CC4CC" w14:textId="37E37506" w:rsidR="006921A0" w:rsidRPr="00846CB7" w:rsidRDefault="006921A0" w:rsidP="006921A0">
      <w:pPr>
        <w:ind w:left="360"/>
        <w:jc w:val="both"/>
        <w:rPr>
          <w:rFonts w:ascii="Arial" w:hAnsi="Arial" w:cs="Arial"/>
        </w:rPr>
      </w:pPr>
      <w:r w:rsidRPr="00846CB7">
        <w:rPr>
          <w:rFonts w:ascii="Arial" w:hAnsi="Arial" w:cs="Arial"/>
        </w:rPr>
        <w:t>The review is expected to have system-wide implications, as it seeks to refine compliance expectations, strengthen patient safety requirements, and improve regulatory clarity across all levels of healthcare.</w:t>
      </w:r>
    </w:p>
    <w:p w14:paraId="48BDEA8B" w14:textId="299732F3" w:rsidR="00055441" w:rsidRDefault="764582B0" w:rsidP="00C30334">
      <w:pPr>
        <w:spacing w:line="257" w:lineRule="auto"/>
        <w:ind w:left="360"/>
        <w:jc w:val="both"/>
        <w:rPr>
          <w:rFonts w:ascii="Aptos" w:eastAsia="Aptos" w:hAnsi="Aptos" w:cs="Aptos"/>
        </w:rPr>
      </w:pPr>
      <w:r w:rsidRPr="38E1F4EA">
        <w:rPr>
          <w:rFonts w:ascii="Arial" w:hAnsi="Arial" w:cs="Arial"/>
        </w:rPr>
        <w:t>E</w:t>
      </w:r>
      <w:r w:rsidR="00357A6B" w:rsidRPr="38E1F4EA">
        <w:rPr>
          <w:rFonts w:ascii="Arial" w:hAnsi="Arial" w:cs="Arial"/>
        </w:rPr>
        <w:t>ngagement</w:t>
      </w:r>
      <w:r w:rsidR="002A6C03" w:rsidRPr="38E1F4EA">
        <w:rPr>
          <w:rFonts w:ascii="Arial" w:hAnsi="Arial" w:cs="Arial"/>
        </w:rPr>
        <w:t>s</w:t>
      </w:r>
      <w:r w:rsidR="00291945">
        <w:rPr>
          <w:rFonts w:ascii="Arial" w:hAnsi="Arial" w:cs="Arial"/>
        </w:rPr>
        <w:t xml:space="preserve">, </w:t>
      </w:r>
      <w:r w:rsidR="770916CB" w:rsidRPr="38E1F4EA">
        <w:rPr>
          <w:rFonts w:ascii="Arial" w:hAnsi="Arial" w:cs="Arial"/>
        </w:rPr>
        <w:t xml:space="preserve">including </w:t>
      </w:r>
      <w:r w:rsidR="002A6C03" w:rsidRPr="38E1F4EA">
        <w:rPr>
          <w:rFonts w:ascii="Arial" w:hAnsi="Arial" w:cs="Arial"/>
        </w:rPr>
        <w:t>roadshow</w:t>
      </w:r>
      <w:r w:rsidR="00291945">
        <w:rPr>
          <w:rFonts w:ascii="Arial" w:hAnsi="Arial" w:cs="Arial"/>
        </w:rPr>
        <w:t>,</w:t>
      </w:r>
      <w:r w:rsidR="00357A6B" w:rsidRPr="38E1F4EA">
        <w:rPr>
          <w:rFonts w:ascii="Arial" w:hAnsi="Arial" w:cs="Arial"/>
        </w:rPr>
        <w:t xml:space="preserve"> will therefore be undertaken with a broad range of stakeholders, including:</w:t>
      </w:r>
    </w:p>
    <w:p w14:paraId="09073D96" w14:textId="77777777" w:rsidR="00357A6B" w:rsidRPr="00846CB7" w:rsidRDefault="00357A6B" w:rsidP="006921A0">
      <w:pPr>
        <w:numPr>
          <w:ilvl w:val="0"/>
          <w:numId w:val="37"/>
        </w:numPr>
        <w:tabs>
          <w:tab w:val="clear" w:pos="720"/>
          <w:tab w:val="num" w:pos="1080"/>
        </w:tabs>
        <w:ind w:left="1080"/>
        <w:jc w:val="both"/>
        <w:rPr>
          <w:rFonts w:ascii="Arial" w:hAnsi="Arial" w:cs="Arial"/>
        </w:rPr>
      </w:pPr>
      <w:r w:rsidRPr="00846CB7">
        <w:rPr>
          <w:rFonts w:ascii="Arial" w:hAnsi="Arial" w:cs="Arial"/>
        </w:rPr>
        <w:t>healthcare providers across the public and private sectors</w:t>
      </w:r>
    </w:p>
    <w:p w14:paraId="75D2540B" w14:textId="77777777" w:rsidR="00357A6B" w:rsidRPr="00846CB7" w:rsidRDefault="00357A6B" w:rsidP="006921A0">
      <w:pPr>
        <w:numPr>
          <w:ilvl w:val="0"/>
          <w:numId w:val="37"/>
        </w:numPr>
        <w:tabs>
          <w:tab w:val="clear" w:pos="720"/>
          <w:tab w:val="num" w:pos="1080"/>
        </w:tabs>
        <w:ind w:left="1080"/>
        <w:jc w:val="both"/>
        <w:rPr>
          <w:rFonts w:ascii="Arial" w:hAnsi="Arial" w:cs="Arial"/>
        </w:rPr>
      </w:pPr>
      <w:r w:rsidRPr="00846CB7">
        <w:rPr>
          <w:rFonts w:ascii="Arial" w:hAnsi="Arial" w:cs="Arial"/>
        </w:rPr>
        <w:t>professional councils and professional associations</w:t>
      </w:r>
    </w:p>
    <w:p w14:paraId="05D2C582" w14:textId="7369A215" w:rsidR="00251FC4" w:rsidRPr="00846CB7" w:rsidRDefault="00251FC4" w:rsidP="006921A0">
      <w:pPr>
        <w:numPr>
          <w:ilvl w:val="0"/>
          <w:numId w:val="37"/>
        </w:numPr>
        <w:tabs>
          <w:tab w:val="clear" w:pos="720"/>
          <w:tab w:val="num" w:pos="1080"/>
        </w:tabs>
        <w:ind w:left="1080"/>
        <w:jc w:val="both"/>
        <w:rPr>
          <w:rFonts w:ascii="Arial" w:hAnsi="Arial" w:cs="Arial"/>
        </w:rPr>
      </w:pPr>
      <w:r w:rsidRPr="00846CB7">
        <w:rPr>
          <w:rFonts w:ascii="Arial" w:hAnsi="Arial" w:cs="Arial"/>
        </w:rPr>
        <w:t>provincial health departments</w:t>
      </w:r>
    </w:p>
    <w:p w14:paraId="20EF1ED0" w14:textId="684B0053" w:rsidR="00357A6B" w:rsidRPr="00846CB7" w:rsidRDefault="00251FC4" w:rsidP="006921A0">
      <w:pPr>
        <w:numPr>
          <w:ilvl w:val="0"/>
          <w:numId w:val="37"/>
        </w:numPr>
        <w:tabs>
          <w:tab w:val="clear" w:pos="720"/>
          <w:tab w:val="num" w:pos="1080"/>
        </w:tabs>
        <w:ind w:left="1080"/>
        <w:jc w:val="both"/>
        <w:rPr>
          <w:rFonts w:ascii="Arial" w:hAnsi="Arial" w:cs="Arial"/>
        </w:rPr>
      </w:pPr>
      <w:r w:rsidRPr="38E1F4EA">
        <w:rPr>
          <w:rFonts w:ascii="Arial" w:hAnsi="Arial" w:cs="Arial"/>
        </w:rPr>
        <w:t xml:space="preserve">general </w:t>
      </w:r>
      <w:r w:rsidR="00291945">
        <w:rPr>
          <w:rFonts w:ascii="Arial" w:hAnsi="Arial" w:cs="Arial"/>
        </w:rPr>
        <w:t>public, hospital</w:t>
      </w:r>
      <w:r w:rsidR="00357A6B" w:rsidRPr="00846CB7">
        <w:rPr>
          <w:rFonts w:ascii="Arial" w:hAnsi="Arial" w:cs="Arial"/>
        </w:rPr>
        <w:t xml:space="preserve"> groups</w:t>
      </w:r>
      <w:r w:rsidR="00291945">
        <w:rPr>
          <w:rFonts w:ascii="Arial" w:hAnsi="Arial" w:cs="Arial"/>
        </w:rPr>
        <w:t>,</w:t>
      </w:r>
      <w:r w:rsidR="00357A6B" w:rsidRPr="00846CB7">
        <w:rPr>
          <w:rFonts w:ascii="Arial" w:hAnsi="Arial" w:cs="Arial"/>
        </w:rPr>
        <w:t xml:space="preserve"> and primary healthcare organisations</w:t>
      </w:r>
    </w:p>
    <w:p w14:paraId="107DCBEF" w14:textId="77777777" w:rsidR="00357A6B" w:rsidRPr="00846CB7" w:rsidRDefault="00357A6B" w:rsidP="006921A0">
      <w:pPr>
        <w:numPr>
          <w:ilvl w:val="0"/>
          <w:numId w:val="37"/>
        </w:numPr>
        <w:tabs>
          <w:tab w:val="clear" w:pos="720"/>
          <w:tab w:val="num" w:pos="1080"/>
        </w:tabs>
        <w:ind w:left="1080"/>
        <w:jc w:val="both"/>
        <w:rPr>
          <w:rFonts w:ascii="Arial" w:hAnsi="Arial" w:cs="Arial"/>
        </w:rPr>
      </w:pPr>
      <w:r w:rsidRPr="00846CB7">
        <w:rPr>
          <w:rFonts w:ascii="Arial" w:hAnsi="Arial" w:cs="Arial"/>
        </w:rPr>
        <w:t>patient advocacy groups and civil society organisations</w:t>
      </w:r>
    </w:p>
    <w:p w14:paraId="45055668" w14:textId="77777777" w:rsidR="00357A6B" w:rsidRPr="00846CB7" w:rsidRDefault="00357A6B" w:rsidP="006921A0">
      <w:pPr>
        <w:numPr>
          <w:ilvl w:val="0"/>
          <w:numId w:val="37"/>
        </w:numPr>
        <w:tabs>
          <w:tab w:val="clear" w:pos="720"/>
          <w:tab w:val="num" w:pos="1080"/>
        </w:tabs>
        <w:ind w:left="1080"/>
        <w:jc w:val="both"/>
        <w:rPr>
          <w:rFonts w:ascii="Arial" w:hAnsi="Arial" w:cs="Arial"/>
        </w:rPr>
      </w:pPr>
      <w:r w:rsidRPr="00846CB7">
        <w:rPr>
          <w:rFonts w:ascii="Arial" w:hAnsi="Arial" w:cs="Arial"/>
        </w:rPr>
        <w:t>policymakers and health system leaders</w:t>
      </w:r>
    </w:p>
    <w:p w14:paraId="1F4FFEC3" w14:textId="44A927F6" w:rsidR="00827AB8" w:rsidRPr="00846CB7" w:rsidRDefault="00827AB8" w:rsidP="006921A0">
      <w:pPr>
        <w:numPr>
          <w:ilvl w:val="0"/>
          <w:numId w:val="37"/>
        </w:numPr>
        <w:tabs>
          <w:tab w:val="clear" w:pos="720"/>
          <w:tab w:val="num" w:pos="1080"/>
        </w:tabs>
        <w:ind w:left="1080"/>
        <w:jc w:val="both"/>
        <w:rPr>
          <w:rFonts w:ascii="Arial" w:hAnsi="Arial" w:cs="Arial"/>
        </w:rPr>
      </w:pPr>
      <w:r w:rsidRPr="00846CB7">
        <w:rPr>
          <w:rFonts w:ascii="Arial" w:hAnsi="Arial" w:cs="Arial"/>
        </w:rPr>
        <w:t>academic and training institutions</w:t>
      </w:r>
    </w:p>
    <w:p w14:paraId="42B1E85D" w14:textId="04F8CB1D" w:rsidR="00827AB8" w:rsidRPr="00846CB7" w:rsidRDefault="00827AB8" w:rsidP="006921A0">
      <w:pPr>
        <w:numPr>
          <w:ilvl w:val="0"/>
          <w:numId w:val="37"/>
        </w:numPr>
        <w:tabs>
          <w:tab w:val="clear" w:pos="720"/>
          <w:tab w:val="num" w:pos="1080"/>
        </w:tabs>
        <w:ind w:left="1080"/>
        <w:jc w:val="both"/>
        <w:rPr>
          <w:rFonts w:ascii="Arial" w:hAnsi="Arial" w:cs="Arial"/>
        </w:rPr>
      </w:pPr>
      <w:r w:rsidRPr="00846CB7">
        <w:rPr>
          <w:rFonts w:ascii="Arial" w:hAnsi="Arial" w:cs="Arial"/>
        </w:rPr>
        <w:t>trade unions</w:t>
      </w:r>
    </w:p>
    <w:p w14:paraId="03E670A0" w14:textId="22DB628D" w:rsidR="00115568" w:rsidRPr="00846CB7" w:rsidRDefault="00115568" w:rsidP="006921A0">
      <w:pPr>
        <w:numPr>
          <w:ilvl w:val="0"/>
          <w:numId w:val="37"/>
        </w:numPr>
        <w:tabs>
          <w:tab w:val="clear" w:pos="720"/>
          <w:tab w:val="num" w:pos="1080"/>
        </w:tabs>
        <w:ind w:left="1080"/>
        <w:jc w:val="both"/>
        <w:rPr>
          <w:rFonts w:ascii="Arial" w:hAnsi="Arial" w:cs="Arial"/>
        </w:rPr>
      </w:pPr>
      <w:r w:rsidRPr="00846CB7">
        <w:rPr>
          <w:rFonts w:ascii="Arial" w:hAnsi="Arial" w:cs="Arial"/>
        </w:rPr>
        <w:t>media</w:t>
      </w:r>
    </w:p>
    <w:p w14:paraId="78D0B1AA" w14:textId="77777777" w:rsidR="00357A6B" w:rsidRPr="00846CB7" w:rsidRDefault="00357A6B" w:rsidP="006921A0">
      <w:pPr>
        <w:ind w:left="360"/>
        <w:jc w:val="both"/>
        <w:rPr>
          <w:rFonts w:ascii="Arial" w:hAnsi="Arial" w:cs="Arial"/>
        </w:rPr>
      </w:pPr>
      <w:r w:rsidRPr="00846CB7">
        <w:rPr>
          <w:rFonts w:ascii="Arial" w:hAnsi="Arial" w:cs="Arial"/>
        </w:rPr>
        <w:t>These engagements aim to promote sector-wide ownership of the revised norms and standards, reduce resistance to regulatory change, and enhance compliance by ensuring that the regulatory framework reflects both patient safety priorities and operational realities across diverse healthcare settings.</w:t>
      </w:r>
    </w:p>
    <w:p w14:paraId="793CB772" w14:textId="1E93B55E" w:rsidR="00357A6B" w:rsidRPr="00846CB7" w:rsidRDefault="00357A6B" w:rsidP="006921A0">
      <w:pPr>
        <w:ind w:left="360"/>
        <w:jc w:val="both"/>
        <w:rPr>
          <w:rFonts w:ascii="Arial" w:hAnsi="Arial" w:cs="Arial"/>
        </w:rPr>
      </w:pPr>
      <w:r w:rsidRPr="00846CB7">
        <w:rPr>
          <w:rFonts w:ascii="Arial" w:hAnsi="Arial" w:cs="Arial"/>
        </w:rPr>
        <w:t>To ensure effectiveness, stakeholder engagement</w:t>
      </w:r>
      <w:r w:rsidR="00563248" w:rsidRPr="00846CB7">
        <w:rPr>
          <w:rFonts w:ascii="Arial" w:hAnsi="Arial" w:cs="Arial"/>
        </w:rPr>
        <w:t>s</w:t>
      </w:r>
      <w:r w:rsidRPr="00846CB7">
        <w:rPr>
          <w:rFonts w:ascii="Arial" w:hAnsi="Arial" w:cs="Arial"/>
        </w:rPr>
        <w:t xml:space="preserve"> will be structured, inclusive, and conducted in phases. Activities will include:</w:t>
      </w:r>
    </w:p>
    <w:p w14:paraId="295697D0" w14:textId="77777777" w:rsidR="00357A6B" w:rsidRPr="00846CB7" w:rsidRDefault="00357A6B" w:rsidP="006921A0">
      <w:pPr>
        <w:numPr>
          <w:ilvl w:val="0"/>
          <w:numId w:val="38"/>
        </w:numPr>
        <w:tabs>
          <w:tab w:val="clear" w:pos="720"/>
          <w:tab w:val="num" w:pos="1080"/>
        </w:tabs>
        <w:ind w:left="1080"/>
        <w:jc w:val="both"/>
        <w:rPr>
          <w:rFonts w:ascii="Arial" w:hAnsi="Arial" w:cs="Arial"/>
        </w:rPr>
      </w:pPr>
      <w:r w:rsidRPr="00846CB7">
        <w:rPr>
          <w:rFonts w:ascii="Arial" w:hAnsi="Arial" w:cs="Arial"/>
        </w:rPr>
        <w:t>early-stage consultations to identify key review priorities</w:t>
      </w:r>
    </w:p>
    <w:p w14:paraId="7A0AC2BA" w14:textId="77777777" w:rsidR="00357A6B" w:rsidRPr="00846CB7" w:rsidRDefault="00357A6B" w:rsidP="006921A0">
      <w:pPr>
        <w:numPr>
          <w:ilvl w:val="0"/>
          <w:numId w:val="38"/>
        </w:numPr>
        <w:tabs>
          <w:tab w:val="clear" w:pos="720"/>
          <w:tab w:val="num" w:pos="1080"/>
        </w:tabs>
        <w:ind w:left="1080"/>
        <w:jc w:val="both"/>
        <w:rPr>
          <w:rFonts w:ascii="Arial" w:hAnsi="Arial" w:cs="Arial"/>
        </w:rPr>
      </w:pPr>
      <w:r w:rsidRPr="00846CB7">
        <w:rPr>
          <w:rFonts w:ascii="Arial" w:hAnsi="Arial" w:cs="Arial"/>
        </w:rPr>
        <w:t>publication of discussion documents for public comment and written submissions</w:t>
      </w:r>
    </w:p>
    <w:p w14:paraId="09DD544E" w14:textId="49FE1BFF" w:rsidR="00357A6B" w:rsidRPr="00846CB7" w:rsidRDefault="00357A6B" w:rsidP="006921A0">
      <w:pPr>
        <w:numPr>
          <w:ilvl w:val="0"/>
          <w:numId w:val="38"/>
        </w:numPr>
        <w:tabs>
          <w:tab w:val="clear" w:pos="720"/>
          <w:tab w:val="num" w:pos="1080"/>
        </w:tabs>
        <w:ind w:left="1080"/>
        <w:jc w:val="both"/>
        <w:rPr>
          <w:rFonts w:ascii="Arial" w:hAnsi="Arial" w:cs="Arial"/>
        </w:rPr>
      </w:pPr>
      <w:r w:rsidRPr="00846CB7">
        <w:rPr>
          <w:rFonts w:ascii="Arial" w:hAnsi="Arial" w:cs="Arial"/>
        </w:rPr>
        <w:t>targeted  discussions</w:t>
      </w:r>
      <w:r w:rsidR="00DB3E00" w:rsidRPr="00846CB7">
        <w:rPr>
          <w:rFonts w:ascii="Arial" w:hAnsi="Arial" w:cs="Arial"/>
        </w:rPr>
        <w:t xml:space="preserve"> through various platforms such as</w:t>
      </w:r>
      <w:r w:rsidRPr="00846CB7">
        <w:rPr>
          <w:rFonts w:ascii="Arial" w:hAnsi="Arial" w:cs="Arial"/>
        </w:rPr>
        <w:t xml:space="preserve"> technical workshops</w:t>
      </w:r>
      <w:r w:rsidR="00D91CDF" w:rsidRPr="00846CB7">
        <w:rPr>
          <w:rFonts w:ascii="Arial" w:hAnsi="Arial" w:cs="Arial"/>
        </w:rPr>
        <w:t xml:space="preserve">, webinars, public </w:t>
      </w:r>
      <w:r w:rsidR="008B0618" w:rsidRPr="00846CB7">
        <w:rPr>
          <w:rFonts w:ascii="Arial" w:hAnsi="Arial" w:cs="Arial"/>
        </w:rPr>
        <w:t>engagements</w:t>
      </w:r>
      <w:r w:rsidR="001E36F0">
        <w:rPr>
          <w:rFonts w:ascii="Arial" w:hAnsi="Arial" w:cs="Arial"/>
        </w:rPr>
        <w:t>,</w:t>
      </w:r>
      <w:r w:rsidR="008B0618" w:rsidRPr="00846CB7">
        <w:rPr>
          <w:rFonts w:ascii="Arial" w:hAnsi="Arial" w:cs="Arial"/>
        </w:rPr>
        <w:t xml:space="preserve"> etc.,</w:t>
      </w:r>
      <w:r w:rsidRPr="00846CB7">
        <w:rPr>
          <w:rFonts w:ascii="Arial" w:hAnsi="Arial" w:cs="Arial"/>
        </w:rPr>
        <w:t xml:space="preserve"> with key sector stakeholders</w:t>
      </w:r>
    </w:p>
    <w:p w14:paraId="0AF7FC32" w14:textId="24DFF8EF" w:rsidR="00357A6B" w:rsidRPr="00846CB7" w:rsidRDefault="00357A6B" w:rsidP="006921A0">
      <w:pPr>
        <w:numPr>
          <w:ilvl w:val="0"/>
          <w:numId w:val="38"/>
        </w:numPr>
        <w:tabs>
          <w:tab w:val="clear" w:pos="720"/>
          <w:tab w:val="num" w:pos="1080"/>
        </w:tabs>
        <w:ind w:left="1080"/>
        <w:jc w:val="both"/>
        <w:rPr>
          <w:rFonts w:ascii="Arial" w:hAnsi="Arial" w:cs="Arial"/>
        </w:rPr>
      </w:pPr>
      <w:r w:rsidRPr="00846CB7">
        <w:rPr>
          <w:rFonts w:ascii="Arial" w:hAnsi="Arial" w:cs="Arial"/>
        </w:rPr>
        <w:t>engagement</w:t>
      </w:r>
      <w:r w:rsidR="007B3F78" w:rsidRPr="00846CB7">
        <w:rPr>
          <w:rFonts w:ascii="Arial" w:hAnsi="Arial" w:cs="Arial"/>
        </w:rPr>
        <w:t>s</w:t>
      </w:r>
      <w:r w:rsidRPr="00846CB7">
        <w:rPr>
          <w:rFonts w:ascii="Arial" w:hAnsi="Arial" w:cs="Arial"/>
        </w:rPr>
        <w:t xml:space="preserve"> with community and patient representatives</w:t>
      </w:r>
    </w:p>
    <w:p w14:paraId="6692C50E" w14:textId="77777777" w:rsidR="00357A6B" w:rsidRPr="00846CB7" w:rsidRDefault="00357A6B" w:rsidP="006921A0">
      <w:pPr>
        <w:numPr>
          <w:ilvl w:val="0"/>
          <w:numId w:val="38"/>
        </w:numPr>
        <w:tabs>
          <w:tab w:val="clear" w:pos="720"/>
          <w:tab w:val="num" w:pos="1080"/>
        </w:tabs>
        <w:ind w:left="1080"/>
        <w:jc w:val="both"/>
        <w:rPr>
          <w:rFonts w:ascii="Arial" w:hAnsi="Arial" w:cs="Arial"/>
        </w:rPr>
      </w:pPr>
      <w:r w:rsidRPr="00846CB7">
        <w:rPr>
          <w:rFonts w:ascii="Arial" w:hAnsi="Arial" w:cs="Arial"/>
        </w:rPr>
        <w:t>dissemination of feedback reports demonstrating how stakeholder inputs have informed the proposed revisions</w:t>
      </w:r>
    </w:p>
    <w:p w14:paraId="279EA173" w14:textId="75CA7AB8" w:rsidR="00357A6B" w:rsidRPr="00846CB7" w:rsidRDefault="00357A6B" w:rsidP="006921A0">
      <w:pPr>
        <w:ind w:left="360"/>
        <w:jc w:val="both"/>
        <w:rPr>
          <w:rFonts w:ascii="Arial" w:hAnsi="Arial" w:cs="Arial"/>
        </w:rPr>
      </w:pPr>
      <w:r w:rsidRPr="00846CB7">
        <w:rPr>
          <w:rFonts w:ascii="Arial" w:hAnsi="Arial" w:cs="Arial"/>
        </w:rPr>
        <w:t xml:space="preserve">During engagement sessions, stakeholders </w:t>
      </w:r>
      <w:r w:rsidR="007762A5" w:rsidRPr="00846CB7">
        <w:rPr>
          <w:rFonts w:ascii="Arial" w:hAnsi="Arial" w:cs="Arial"/>
        </w:rPr>
        <w:t xml:space="preserve">are </w:t>
      </w:r>
      <w:r w:rsidRPr="00846CB7">
        <w:rPr>
          <w:rFonts w:ascii="Arial" w:hAnsi="Arial" w:cs="Arial"/>
        </w:rPr>
        <w:t>encouraged to participate constructively by providing evidence-based inputs, identifying implementation challenges, and highlighting potential unintended consequences of proposed regulatory changes.</w:t>
      </w:r>
    </w:p>
    <w:p w14:paraId="0BA479D2" w14:textId="3CC987B4" w:rsidR="00357A6B" w:rsidRPr="00846CB7" w:rsidRDefault="00357A6B" w:rsidP="006921A0">
      <w:pPr>
        <w:ind w:left="360"/>
        <w:jc w:val="both"/>
        <w:rPr>
          <w:rFonts w:ascii="Arial" w:hAnsi="Arial" w:cs="Arial"/>
        </w:rPr>
      </w:pPr>
      <w:r w:rsidRPr="00846CB7">
        <w:rPr>
          <w:rFonts w:ascii="Arial" w:hAnsi="Arial" w:cs="Arial"/>
        </w:rPr>
        <w:t>Stakeholder engagement</w:t>
      </w:r>
      <w:r w:rsidR="00D17007" w:rsidRPr="00846CB7">
        <w:rPr>
          <w:rFonts w:ascii="Arial" w:hAnsi="Arial" w:cs="Arial"/>
        </w:rPr>
        <w:t>s</w:t>
      </w:r>
      <w:r w:rsidRPr="00846CB7">
        <w:rPr>
          <w:rFonts w:ascii="Arial" w:hAnsi="Arial" w:cs="Arial"/>
        </w:rPr>
        <w:t xml:space="preserve"> will therefore serve not only as a consultative mechanism but also as a collaborative process </w:t>
      </w:r>
      <w:r w:rsidR="00CF0A45" w:rsidRPr="00846CB7">
        <w:rPr>
          <w:rFonts w:ascii="Arial" w:hAnsi="Arial" w:cs="Arial"/>
        </w:rPr>
        <w:t>to ensure</w:t>
      </w:r>
      <w:r w:rsidRPr="00846CB7">
        <w:rPr>
          <w:rFonts w:ascii="Arial" w:hAnsi="Arial" w:cs="Arial"/>
        </w:rPr>
        <w:t xml:space="preserve"> that the revised norms and standards</w:t>
      </w:r>
      <w:r w:rsidR="00D17007" w:rsidRPr="00846CB7">
        <w:rPr>
          <w:rFonts w:ascii="Arial" w:hAnsi="Arial" w:cs="Arial"/>
        </w:rPr>
        <w:t xml:space="preserve"> regulations</w:t>
      </w:r>
      <w:r w:rsidRPr="00846CB7">
        <w:rPr>
          <w:rFonts w:ascii="Arial" w:hAnsi="Arial" w:cs="Arial"/>
        </w:rPr>
        <w:t xml:space="preserve"> are practical, enforceable, and capable of strengthening the quality and safety of healthcare delivery across South Africa.</w:t>
      </w:r>
    </w:p>
    <w:p w14:paraId="040A0683" w14:textId="77777777" w:rsidR="00CF0A45" w:rsidRPr="00846CB7" w:rsidRDefault="00CF0A45" w:rsidP="0022088E">
      <w:pPr>
        <w:spacing w:after="0"/>
        <w:ind w:left="360"/>
        <w:jc w:val="both"/>
        <w:rPr>
          <w:rFonts w:ascii="Arial" w:hAnsi="Arial" w:cs="Arial"/>
        </w:rPr>
      </w:pPr>
    </w:p>
    <w:p w14:paraId="1AF58FDC" w14:textId="77777777" w:rsidR="00813FAE" w:rsidRPr="00846CB7" w:rsidRDefault="00CF0A45" w:rsidP="00813FAE">
      <w:pPr>
        <w:ind w:left="360"/>
        <w:jc w:val="both"/>
        <w:rPr>
          <w:rFonts w:ascii="Arial" w:hAnsi="Arial" w:cs="Arial"/>
        </w:rPr>
      </w:pPr>
      <w:r w:rsidRPr="00846CB7">
        <w:rPr>
          <w:rFonts w:ascii="Arial" w:hAnsi="Arial" w:cs="Arial"/>
        </w:rPr>
        <w:t xml:space="preserve">For more information, </w:t>
      </w:r>
      <w:r w:rsidR="006E6479" w:rsidRPr="00846CB7">
        <w:rPr>
          <w:rFonts w:ascii="Arial" w:hAnsi="Arial" w:cs="Arial"/>
        </w:rPr>
        <w:t xml:space="preserve">email: </w:t>
      </w:r>
      <w:hyperlink r:id="rId10" w:history="1">
        <w:r w:rsidR="00813FAE" w:rsidRPr="00846CB7">
          <w:rPr>
            <w:rStyle w:val="Hyperlink"/>
            <w:rFonts w:ascii="Arial" w:hAnsi="Arial" w:cs="Arial"/>
          </w:rPr>
          <w:t>standardsreview@ohsc.org.za</w:t>
        </w:r>
      </w:hyperlink>
    </w:p>
    <w:p w14:paraId="4D4EC524" w14:textId="599CA7D6" w:rsidR="00CF0A45" w:rsidRPr="00846CB7" w:rsidRDefault="00CF0A45" w:rsidP="006921A0">
      <w:pPr>
        <w:ind w:left="360"/>
        <w:jc w:val="both"/>
        <w:rPr>
          <w:rFonts w:ascii="Arial" w:hAnsi="Arial" w:cs="Arial"/>
        </w:rPr>
      </w:pPr>
    </w:p>
    <w:p w14:paraId="3AD23099" w14:textId="77777777" w:rsidR="00357A6B" w:rsidRPr="00846CB7" w:rsidRDefault="00357A6B" w:rsidP="00055441">
      <w:pPr>
        <w:jc w:val="both"/>
        <w:rPr>
          <w:rFonts w:ascii="Arial" w:hAnsi="Arial" w:cs="Arial"/>
          <w:vanish/>
        </w:rPr>
      </w:pPr>
    </w:p>
    <w:p w14:paraId="502DFB98" w14:textId="77777777" w:rsidR="00055441" w:rsidRPr="00846CB7" w:rsidRDefault="00055441" w:rsidP="00CD3721">
      <w:pPr>
        <w:jc w:val="both"/>
        <w:rPr>
          <w:rFonts w:ascii="Arial" w:hAnsi="Arial" w:cs="Arial"/>
        </w:rPr>
      </w:pPr>
    </w:p>
    <w:p w14:paraId="4A16E30A" w14:textId="6861CF09" w:rsidR="00CD3721" w:rsidRPr="006B185E" w:rsidRDefault="00CD3721" w:rsidP="006B185E">
      <w:pPr>
        <w:jc w:val="both"/>
        <w:rPr>
          <w:rFonts w:ascii="Arial" w:hAnsi="Arial" w:cs="Arial"/>
          <w:vanish/>
        </w:rPr>
      </w:pPr>
      <w:r w:rsidRPr="006B185E">
        <w:rPr>
          <w:rFonts w:ascii="Arial" w:hAnsi="Arial" w:cs="Arial"/>
          <w:vanish/>
        </w:rPr>
        <w:t>Top of Form</w:t>
      </w:r>
    </w:p>
    <w:p w14:paraId="6B10C681" w14:textId="77777777" w:rsidR="00CD3721" w:rsidRPr="00CD3721" w:rsidRDefault="00CD3721" w:rsidP="00CD3721">
      <w:pPr>
        <w:jc w:val="both"/>
        <w:rPr>
          <w:rFonts w:ascii="Arial" w:hAnsi="Arial" w:cs="Arial"/>
          <w:vanish/>
        </w:rPr>
      </w:pPr>
      <w:r w:rsidRPr="00CD3721">
        <w:rPr>
          <w:rFonts w:ascii="Arial" w:hAnsi="Arial" w:cs="Arial"/>
          <w:vanish/>
        </w:rPr>
        <w:t>Bottom of Form</w:t>
      </w:r>
    </w:p>
    <w:sectPr w:rsidR="00CD3721" w:rsidRPr="00CD3721" w:rsidSect="00A91C72">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9CD50" w14:textId="77777777" w:rsidR="004D581B" w:rsidRDefault="004D581B" w:rsidP="00B6704D">
      <w:pPr>
        <w:spacing w:after="0" w:line="240" w:lineRule="auto"/>
      </w:pPr>
      <w:r>
        <w:separator/>
      </w:r>
    </w:p>
  </w:endnote>
  <w:endnote w:type="continuationSeparator" w:id="0">
    <w:p w14:paraId="680E28AF" w14:textId="77777777" w:rsidR="004D581B" w:rsidRDefault="004D581B" w:rsidP="00B67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8518932"/>
      <w:docPartObj>
        <w:docPartGallery w:val="Page Numbers (Bottom of Page)"/>
        <w:docPartUnique/>
      </w:docPartObj>
    </w:sdtPr>
    <w:sdtEndPr>
      <w:rPr>
        <w:rFonts w:ascii="Arial" w:hAnsi="Arial" w:cs="Arial"/>
        <w:color w:val="7F7F7F" w:themeColor="background1" w:themeShade="7F"/>
        <w:spacing w:val="60"/>
        <w:sz w:val="16"/>
        <w:szCs w:val="16"/>
      </w:rPr>
    </w:sdtEndPr>
    <w:sdtContent>
      <w:p w14:paraId="723DEF6B" w14:textId="3DA1364A" w:rsidR="00B6704D" w:rsidRPr="004C07A1" w:rsidRDefault="00B6704D">
        <w:pPr>
          <w:pStyle w:val="Footer"/>
          <w:pBdr>
            <w:top w:val="single" w:sz="4" w:space="1" w:color="D9D9D9" w:themeColor="background1" w:themeShade="D9"/>
          </w:pBdr>
          <w:jc w:val="right"/>
          <w:rPr>
            <w:rFonts w:ascii="Arial" w:hAnsi="Arial" w:cs="Arial"/>
            <w:sz w:val="16"/>
            <w:szCs w:val="16"/>
          </w:rPr>
        </w:pPr>
        <w:r w:rsidRPr="004C07A1">
          <w:rPr>
            <w:rFonts w:ascii="Arial" w:hAnsi="Arial" w:cs="Arial"/>
            <w:sz w:val="16"/>
            <w:szCs w:val="16"/>
          </w:rPr>
          <w:fldChar w:fldCharType="begin"/>
        </w:r>
        <w:r w:rsidRPr="004C07A1">
          <w:rPr>
            <w:rFonts w:ascii="Arial" w:hAnsi="Arial" w:cs="Arial"/>
            <w:sz w:val="16"/>
            <w:szCs w:val="16"/>
          </w:rPr>
          <w:instrText xml:space="preserve"> PAGE   \* MERGEFORMAT </w:instrText>
        </w:r>
        <w:r w:rsidRPr="004C07A1">
          <w:rPr>
            <w:rFonts w:ascii="Arial" w:hAnsi="Arial" w:cs="Arial"/>
            <w:sz w:val="16"/>
            <w:szCs w:val="16"/>
          </w:rPr>
          <w:fldChar w:fldCharType="separate"/>
        </w:r>
        <w:r w:rsidRPr="004C07A1">
          <w:rPr>
            <w:rFonts w:ascii="Arial" w:hAnsi="Arial" w:cs="Arial"/>
            <w:noProof/>
            <w:sz w:val="16"/>
            <w:szCs w:val="16"/>
          </w:rPr>
          <w:t>2</w:t>
        </w:r>
        <w:r w:rsidRPr="004C07A1">
          <w:rPr>
            <w:rFonts w:ascii="Arial" w:hAnsi="Arial" w:cs="Arial"/>
            <w:noProof/>
            <w:sz w:val="16"/>
            <w:szCs w:val="16"/>
          </w:rPr>
          <w:fldChar w:fldCharType="end"/>
        </w:r>
        <w:r w:rsidRPr="004C07A1">
          <w:rPr>
            <w:rFonts w:ascii="Arial" w:hAnsi="Arial" w:cs="Arial"/>
            <w:sz w:val="16"/>
            <w:szCs w:val="16"/>
          </w:rPr>
          <w:t xml:space="preserve"> | </w:t>
        </w:r>
        <w:r w:rsidRPr="004C07A1">
          <w:rPr>
            <w:rFonts w:ascii="Arial" w:hAnsi="Arial" w:cs="Arial"/>
            <w:color w:val="7F7F7F" w:themeColor="background1" w:themeShade="7F"/>
            <w:spacing w:val="60"/>
            <w:sz w:val="16"/>
            <w:szCs w:val="16"/>
          </w:rPr>
          <w:t>Page</w:t>
        </w:r>
      </w:p>
    </w:sdtContent>
  </w:sdt>
  <w:p w14:paraId="2A0AC08D" w14:textId="77777777" w:rsidR="00B6704D" w:rsidRDefault="00B670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F18F0" w14:textId="77777777" w:rsidR="004D581B" w:rsidRDefault="004D581B" w:rsidP="00B6704D">
      <w:pPr>
        <w:spacing w:after="0" w:line="240" w:lineRule="auto"/>
      </w:pPr>
      <w:r>
        <w:separator/>
      </w:r>
    </w:p>
  </w:footnote>
  <w:footnote w:type="continuationSeparator" w:id="0">
    <w:p w14:paraId="4193DB32" w14:textId="77777777" w:rsidR="004D581B" w:rsidRDefault="004D581B" w:rsidP="00B670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0830"/>
    <w:multiLevelType w:val="multilevel"/>
    <w:tmpl w:val="7ABE3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41F6B"/>
    <w:multiLevelType w:val="multilevel"/>
    <w:tmpl w:val="EC728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24919"/>
    <w:multiLevelType w:val="multilevel"/>
    <w:tmpl w:val="086C6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A6177A"/>
    <w:multiLevelType w:val="multilevel"/>
    <w:tmpl w:val="BBDC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BA1BDA"/>
    <w:multiLevelType w:val="multilevel"/>
    <w:tmpl w:val="73C23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727BD8"/>
    <w:multiLevelType w:val="multilevel"/>
    <w:tmpl w:val="E3085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44BBC"/>
    <w:multiLevelType w:val="multilevel"/>
    <w:tmpl w:val="7B40E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9701B4"/>
    <w:multiLevelType w:val="multilevel"/>
    <w:tmpl w:val="EAA43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DD7000"/>
    <w:multiLevelType w:val="multilevel"/>
    <w:tmpl w:val="0F22F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8C4B74"/>
    <w:multiLevelType w:val="multilevel"/>
    <w:tmpl w:val="EBFA6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E66DF2"/>
    <w:multiLevelType w:val="multilevel"/>
    <w:tmpl w:val="70EED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6967C1"/>
    <w:multiLevelType w:val="multilevel"/>
    <w:tmpl w:val="2DE28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A94B81"/>
    <w:multiLevelType w:val="multilevel"/>
    <w:tmpl w:val="AAD43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D943D3"/>
    <w:multiLevelType w:val="multilevel"/>
    <w:tmpl w:val="7A545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CE6DE9"/>
    <w:multiLevelType w:val="multilevel"/>
    <w:tmpl w:val="A074F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512D2B"/>
    <w:multiLevelType w:val="multilevel"/>
    <w:tmpl w:val="FC981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BA06E9"/>
    <w:multiLevelType w:val="multilevel"/>
    <w:tmpl w:val="93746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DD03DF"/>
    <w:multiLevelType w:val="multilevel"/>
    <w:tmpl w:val="53FE8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2241E7"/>
    <w:multiLevelType w:val="multilevel"/>
    <w:tmpl w:val="0974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3455E4"/>
    <w:multiLevelType w:val="multilevel"/>
    <w:tmpl w:val="F3AEDE98"/>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4E887895"/>
    <w:multiLevelType w:val="multilevel"/>
    <w:tmpl w:val="74CE9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815FED"/>
    <w:multiLevelType w:val="multilevel"/>
    <w:tmpl w:val="C4A47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EA3B18"/>
    <w:multiLevelType w:val="multilevel"/>
    <w:tmpl w:val="43A2127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57C85883"/>
    <w:multiLevelType w:val="hybridMultilevel"/>
    <w:tmpl w:val="A670B70C"/>
    <w:lvl w:ilvl="0" w:tplc="F100231A">
      <w:start w:val="1"/>
      <w:numFmt w:val="bullet"/>
      <w:lvlText w:val="•"/>
      <w:lvlJc w:val="left"/>
      <w:pPr>
        <w:tabs>
          <w:tab w:val="num" w:pos="720"/>
        </w:tabs>
        <w:ind w:left="720" w:hanging="360"/>
      </w:pPr>
      <w:rPr>
        <w:rFonts w:ascii="Arial" w:hAnsi="Arial" w:hint="default"/>
      </w:rPr>
    </w:lvl>
    <w:lvl w:ilvl="1" w:tplc="127EC01C" w:tentative="1">
      <w:start w:val="1"/>
      <w:numFmt w:val="bullet"/>
      <w:lvlText w:val="•"/>
      <w:lvlJc w:val="left"/>
      <w:pPr>
        <w:tabs>
          <w:tab w:val="num" w:pos="1440"/>
        </w:tabs>
        <w:ind w:left="1440" w:hanging="360"/>
      </w:pPr>
      <w:rPr>
        <w:rFonts w:ascii="Arial" w:hAnsi="Arial" w:hint="default"/>
      </w:rPr>
    </w:lvl>
    <w:lvl w:ilvl="2" w:tplc="94840B02" w:tentative="1">
      <w:start w:val="1"/>
      <w:numFmt w:val="bullet"/>
      <w:lvlText w:val="•"/>
      <w:lvlJc w:val="left"/>
      <w:pPr>
        <w:tabs>
          <w:tab w:val="num" w:pos="2160"/>
        </w:tabs>
        <w:ind w:left="2160" w:hanging="360"/>
      </w:pPr>
      <w:rPr>
        <w:rFonts w:ascii="Arial" w:hAnsi="Arial" w:hint="default"/>
      </w:rPr>
    </w:lvl>
    <w:lvl w:ilvl="3" w:tplc="BFB4DF54" w:tentative="1">
      <w:start w:val="1"/>
      <w:numFmt w:val="bullet"/>
      <w:lvlText w:val="•"/>
      <w:lvlJc w:val="left"/>
      <w:pPr>
        <w:tabs>
          <w:tab w:val="num" w:pos="2880"/>
        </w:tabs>
        <w:ind w:left="2880" w:hanging="360"/>
      </w:pPr>
      <w:rPr>
        <w:rFonts w:ascii="Arial" w:hAnsi="Arial" w:hint="default"/>
      </w:rPr>
    </w:lvl>
    <w:lvl w:ilvl="4" w:tplc="2F9E4FD2" w:tentative="1">
      <w:start w:val="1"/>
      <w:numFmt w:val="bullet"/>
      <w:lvlText w:val="•"/>
      <w:lvlJc w:val="left"/>
      <w:pPr>
        <w:tabs>
          <w:tab w:val="num" w:pos="3600"/>
        </w:tabs>
        <w:ind w:left="3600" w:hanging="360"/>
      </w:pPr>
      <w:rPr>
        <w:rFonts w:ascii="Arial" w:hAnsi="Arial" w:hint="default"/>
      </w:rPr>
    </w:lvl>
    <w:lvl w:ilvl="5" w:tplc="8D6010CC" w:tentative="1">
      <w:start w:val="1"/>
      <w:numFmt w:val="bullet"/>
      <w:lvlText w:val="•"/>
      <w:lvlJc w:val="left"/>
      <w:pPr>
        <w:tabs>
          <w:tab w:val="num" w:pos="4320"/>
        </w:tabs>
        <w:ind w:left="4320" w:hanging="360"/>
      </w:pPr>
      <w:rPr>
        <w:rFonts w:ascii="Arial" w:hAnsi="Arial" w:hint="default"/>
      </w:rPr>
    </w:lvl>
    <w:lvl w:ilvl="6" w:tplc="E2B26CAE" w:tentative="1">
      <w:start w:val="1"/>
      <w:numFmt w:val="bullet"/>
      <w:lvlText w:val="•"/>
      <w:lvlJc w:val="left"/>
      <w:pPr>
        <w:tabs>
          <w:tab w:val="num" w:pos="5040"/>
        </w:tabs>
        <w:ind w:left="5040" w:hanging="360"/>
      </w:pPr>
      <w:rPr>
        <w:rFonts w:ascii="Arial" w:hAnsi="Arial" w:hint="default"/>
      </w:rPr>
    </w:lvl>
    <w:lvl w:ilvl="7" w:tplc="EB6898DA" w:tentative="1">
      <w:start w:val="1"/>
      <w:numFmt w:val="bullet"/>
      <w:lvlText w:val="•"/>
      <w:lvlJc w:val="left"/>
      <w:pPr>
        <w:tabs>
          <w:tab w:val="num" w:pos="5760"/>
        </w:tabs>
        <w:ind w:left="5760" w:hanging="360"/>
      </w:pPr>
      <w:rPr>
        <w:rFonts w:ascii="Arial" w:hAnsi="Arial" w:hint="default"/>
      </w:rPr>
    </w:lvl>
    <w:lvl w:ilvl="8" w:tplc="7F7EA0D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9667083"/>
    <w:multiLevelType w:val="multilevel"/>
    <w:tmpl w:val="4C54B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555C9A"/>
    <w:multiLevelType w:val="multilevel"/>
    <w:tmpl w:val="86C81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CC1333"/>
    <w:multiLevelType w:val="multilevel"/>
    <w:tmpl w:val="591C0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A83DC2"/>
    <w:multiLevelType w:val="multilevel"/>
    <w:tmpl w:val="E5BAD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B7469D"/>
    <w:multiLevelType w:val="multilevel"/>
    <w:tmpl w:val="8C10A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491A95"/>
    <w:multiLevelType w:val="multilevel"/>
    <w:tmpl w:val="E124C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6A2DA0"/>
    <w:multiLevelType w:val="multilevel"/>
    <w:tmpl w:val="273EB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B40132"/>
    <w:multiLevelType w:val="multilevel"/>
    <w:tmpl w:val="35F2D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F059E1"/>
    <w:multiLevelType w:val="hybridMultilevel"/>
    <w:tmpl w:val="ABCE67B4"/>
    <w:lvl w:ilvl="0" w:tplc="BD88AA5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1FB718F"/>
    <w:multiLevelType w:val="multilevel"/>
    <w:tmpl w:val="B086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FB4C6E"/>
    <w:multiLevelType w:val="multilevel"/>
    <w:tmpl w:val="A4307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AB3CC3"/>
    <w:multiLevelType w:val="multilevel"/>
    <w:tmpl w:val="7E249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450F99"/>
    <w:multiLevelType w:val="multilevel"/>
    <w:tmpl w:val="151C5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DE69AA"/>
    <w:multiLevelType w:val="multilevel"/>
    <w:tmpl w:val="FBEE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B155A1"/>
    <w:multiLevelType w:val="multilevel"/>
    <w:tmpl w:val="92C62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AB45E7"/>
    <w:multiLevelType w:val="multilevel"/>
    <w:tmpl w:val="06BE2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5D5C72"/>
    <w:multiLevelType w:val="multilevel"/>
    <w:tmpl w:val="A846E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8369496">
    <w:abstractNumId w:val="0"/>
  </w:num>
  <w:num w:numId="2" w16cid:durableId="650014262">
    <w:abstractNumId w:val="18"/>
  </w:num>
  <w:num w:numId="3" w16cid:durableId="574625731">
    <w:abstractNumId w:val="9"/>
  </w:num>
  <w:num w:numId="4" w16cid:durableId="368645271">
    <w:abstractNumId w:val="20"/>
  </w:num>
  <w:num w:numId="5" w16cid:durableId="741028099">
    <w:abstractNumId w:val="1"/>
  </w:num>
  <w:num w:numId="6" w16cid:durableId="911113513">
    <w:abstractNumId w:val="8"/>
  </w:num>
  <w:num w:numId="7" w16cid:durableId="280190197">
    <w:abstractNumId w:val="24"/>
  </w:num>
  <w:num w:numId="8" w16cid:durableId="1295872383">
    <w:abstractNumId w:val="31"/>
  </w:num>
  <w:num w:numId="9" w16cid:durableId="1561820248">
    <w:abstractNumId w:val="26"/>
  </w:num>
  <w:num w:numId="10" w16cid:durableId="845481793">
    <w:abstractNumId w:val="7"/>
  </w:num>
  <w:num w:numId="11" w16cid:durableId="2076659824">
    <w:abstractNumId w:val="38"/>
  </w:num>
  <w:num w:numId="12" w16cid:durableId="784809436">
    <w:abstractNumId w:val="10"/>
  </w:num>
  <w:num w:numId="13" w16cid:durableId="269246654">
    <w:abstractNumId w:val="25"/>
  </w:num>
  <w:num w:numId="14" w16cid:durableId="1470827688">
    <w:abstractNumId w:val="5"/>
  </w:num>
  <w:num w:numId="15" w16cid:durableId="1451896866">
    <w:abstractNumId w:val="17"/>
  </w:num>
  <w:num w:numId="16" w16cid:durableId="1107236211">
    <w:abstractNumId w:val="16"/>
  </w:num>
  <w:num w:numId="17" w16cid:durableId="1228876449">
    <w:abstractNumId w:val="3"/>
  </w:num>
  <w:num w:numId="18" w16cid:durableId="1387221077">
    <w:abstractNumId w:val="11"/>
  </w:num>
  <w:num w:numId="19" w16cid:durableId="1362584201">
    <w:abstractNumId w:val="27"/>
  </w:num>
  <w:num w:numId="20" w16cid:durableId="1692876541">
    <w:abstractNumId w:val="36"/>
  </w:num>
  <w:num w:numId="21" w16cid:durableId="208035285">
    <w:abstractNumId w:val="15"/>
  </w:num>
  <w:num w:numId="22" w16cid:durableId="1145317849">
    <w:abstractNumId w:val="37"/>
  </w:num>
  <w:num w:numId="23" w16cid:durableId="1568149967">
    <w:abstractNumId w:val="12"/>
  </w:num>
  <w:num w:numId="24" w16cid:durableId="217519684">
    <w:abstractNumId w:val="35"/>
  </w:num>
  <w:num w:numId="25" w16cid:durableId="1661348100">
    <w:abstractNumId w:val="21"/>
  </w:num>
  <w:num w:numId="26" w16cid:durableId="1214342652">
    <w:abstractNumId w:val="32"/>
  </w:num>
  <w:num w:numId="27" w16cid:durableId="540366599">
    <w:abstractNumId w:val="28"/>
  </w:num>
  <w:num w:numId="28" w16cid:durableId="1334382828">
    <w:abstractNumId w:val="34"/>
  </w:num>
  <w:num w:numId="29" w16cid:durableId="502550394">
    <w:abstractNumId w:val="30"/>
  </w:num>
  <w:num w:numId="30" w16cid:durableId="358162259">
    <w:abstractNumId w:val="13"/>
  </w:num>
  <w:num w:numId="31" w16cid:durableId="2054575406">
    <w:abstractNumId w:val="33"/>
  </w:num>
  <w:num w:numId="32" w16cid:durableId="1023825049">
    <w:abstractNumId w:val="23"/>
  </w:num>
  <w:num w:numId="33" w16cid:durableId="484905936">
    <w:abstractNumId w:val="4"/>
  </w:num>
  <w:num w:numId="34" w16cid:durableId="2023817739">
    <w:abstractNumId w:val="14"/>
  </w:num>
  <w:num w:numId="35" w16cid:durableId="1784809154">
    <w:abstractNumId w:val="6"/>
  </w:num>
  <w:num w:numId="36" w16cid:durableId="1705398737">
    <w:abstractNumId w:val="29"/>
  </w:num>
  <w:num w:numId="37" w16cid:durableId="927228837">
    <w:abstractNumId w:val="39"/>
  </w:num>
  <w:num w:numId="38" w16cid:durableId="2041738454">
    <w:abstractNumId w:val="40"/>
  </w:num>
  <w:num w:numId="39" w16cid:durableId="1113204682">
    <w:abstractNumId w:val="2"/>
  </w:num>
  <w:num w:numId="40" w16cid:durableId="1133447097">
    <w:abstractNumId w:val="19"/>
  </w:num>
  <w:num w:numId="41" w16cid:durableId="96299967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E0F"/>
    <w:rsid w:val="00003061"/>
    <w:rsid w:val="000104C5"/>
    <w:rsid w:val="00025C2D"/>
    <w:rsid w:val="00027FE8"/>
    <w:rsid w:val="00032AB9"/>
    <w:rsid w:val="00032BA9"/>
    <w:rsid w:val="00033856"/>
    <w:rsid w:val="00051BD0"/>
    <w:rsid w:val="00055441"/>
    <w:rsid w:val="000727DC"/>
    <w:rsid w:val="0007479B"/>
    <w:rsid w:val="00090C8E"/>
    <w:rsid w:val="00091079"/>
    <w:rsid w:val="00095D0D"/>
    <w:rsid w:val="000A0A59"/>
    <w:rsid w:val="000B43C2"/>
    <w:rsid w:val="000E5942"/>
    <w:rsid w:val="000F37CA"/>
    <w:rsid w:val="00110520"/>
    <w:rsid w:val="00115568"/>
    <w:rsid w:val="001173C1"/>
    <w:rsid w:val="00120960"/>
    <w:rsid w:val="001507EE"/>
    <w:rsid w:val="001523D4"/>
    <w:rsid w:val="001724E0"/>
    <w:rsid w:val="00173E56"/>
    <w:rsid w:val="00183A34"/>
    <w:rsid w:val="001877C7"/>
    <w:rsid w:val="00194CCD"/>
    <w:rsid w:val="00195854"/>
    <w:rsid w:val="001C31D1"/>
    <w:rsid w:val="001C7238"/>
    <w:rsid w:val="001E0895"/>
    <w:rsid w:val="001E36F0"/>
    <w:rsid w:val="001E624F"/>
    <w:rsid w:val="001E66FC"/>
    <w:rsid w:val="001F4A98"/>
    <w:rsid w:val="001F6441"/>
    <w:rsid w:val="001F7A76"/>
    <w:rsid w:val="0022088E"/>
    <w:rsid w:val="0023272E"/>
    <w:rsid w:val="002338B8"/>
    <w:rsid w:val="00237934"/>
    <w:rsid w:val="00237A17"/>
    <w:rsid w:val="00251FC4"/>
    <w:rsid w:val="00273C75"/>
    <w:rsid w:val="0027548F"/>
    <w:rsid w:val="00283DA1"/>
    <w:rsid w:val="00291945"/>
    <w:rsid w:val="0029390D"/>
    <w:rsid w:val="002A3767"/>
    <w:rsid w:val="002A6C03"/>
    <w:rsid w:val="002B315C"/>
    <w:rsid w:val="002C7CDB"/>
    <w:rsid w:val="002D11AE"/>
    <w:rsid w:val="002D595F"/>
    <w:rsid w:val="002E2E0F"/>
    <w:rsid w:val="002E39A4"/>
    <w:rsid w:val="00305B41"/>
    <w:rsid w:val="00312973"/>
    <w:rsid w:val="00314958"/>
    <w:rsid w:val="0033420D"/>
    <w:rsid w:val="00344F3B"/>
    <w:rsid w:val="003521CE"/>
    <w:rsid w:val="00357A6B"/>
    <w:rsid w:val="00367CC9"/>
    <w:rsid w:val="00371461"/>
    <w:rsid w:val="00373907"/>
    <w:rsid w:val="003A10E6"/>
    <w:rsid w:val="003B13BB"/>
    <w:rsid w:val="003C7823"/>
    <w:rsid w:val="003E03FF"/>
    <w:rsid w:val="003F70A7"/>
    <w:rsid w:val="00444D16"/>
    <w:rsid w:val="004634A7"/>
    <w:rsid w:val="0046625F"/>
    <w:rsid w:val="0046718B"/>
    <w:rsid w:val="0047743A"/>
    <w:rsid w:val="004A1C14"/>
    <w:rsid w:val="004A2D35"/>
    <w:rsid w:val="004C07A1"/>
    <w:rsid w:val="004D581B"/>
    <w:rsid w:val="004E0DFE"/>
    <w:rsid w:val="004E3059"/>
    <w:rsid w:val="004F1E05"/>
    <w:rsid w:val="00502DBB"/>
    <w:rsid w:val="00532874"/>
    <w:rsid w:val="0054539A"/>
    <w:rsid w:val="00563248"/>
    <w:rsid w:val="005C2EB0"/>
    <w:rsid w:val="005C30D0"/>
    <w:rsid w:val="005F26A0"/>
    <w:rsid w:val="005F6145"/>
    <w:rsid w:val="005F7372"/>
    <w:rsid w:val="006029D5"/>
    <w:rsid w:val="0060347C"/>
    <w:rsid w:val="006068D3"/>
    <w:rsid w:val="00606AFB"/>
    <w:rsid w:val="00624D72"/>
    <w:rsid w:val="00625EF2"/>
    <w:rsid w:val="00642F2A"/>
    <w:rsid w:val="00644F0E"/>
    <w:rsid w:val="0064564E"/>
    <w:rsid w:val="006655AB"/>
    <w:rsid w:val="00667ECF"/>
    <w:rsid w:val="0067296E"/>
    <w:rsid w:val="00686811"/>
    <w:rsid w:val="006921A0"/>
    <w:rsid w:val="00693760"/>
    <w:rsid w:val="006A1EB9"/>
    <w:rsid w:val="006A4B1A"/>
    <w:rsid w:val="006B1549"/>
    <w:rsid w:val="006B185E"/>
    <w:rsid w:val="006C26A0"/>
    <w:rsid w:val="006C751C"/>
    <w:rsid w:val="006D1537"/>
    <w:rsid w:val="006D1BF8"/>
    <w:rsid w:val="006E6479"/>
    <w:rsid w:val="006F6384"/>
    <w:rsid w:val="00706867"/>
    <w:rsid w:val="00707313"/>
    <w:rsid w:val="0071380E"/>
    <w:rsid w:val="007210A6"/>
    <w:rsid w:val="00725784"/>
    <w:rsid w:val="00741326"/>
    <w:rsid w:val="00764362"/>
    <w:rsid w:val="00766B1F"/>
    <w:rsid w:val="007762A5"/>
    <w:rsid w:val="00776E51"/>
    <w:rsid w:val="007834FF"/>
    <w:rsid w:val="007B3F78"/>
    <w:rsid w:val="007C09D9"/>
    <w:rsid w:val="007D0913"/>
    <w:rsid w:val="007D6D59"/>
    <w:rsid w:val="007E1DCD"/>
    <w:rsid w:val="00813FAE"/>
    <w:rsid w:val="00815FA1"/>
    <w:rsid w:val="008230DD"/>
    <w:rsid w:val="00827AB8"/>
    <w:rsid w:val="00846CB7"/>
    <w:rsid w:val="00854B74"/>
    <w:rsid w:val="00871327"/>
    <w:rsid w:val="0088069A"/>
    <w:rsid w:val="0089252D"/>
    <w:rsid w:val="008A2AF3"/>
    <w:rsid w:val="008B0114"/>
    <w:rsid w:val="008B0618"/>
    <w:rsid w:val="008B1FD2"/>
    <w:rsid w:val="008B4AAC"/>
    <w:rsid w:val="008D4375"/>
    <w:rsid w:val="008F6959"/>
    <w:rsid w:val="009062E2"/>
    <w:rsid w:val="00937FFA"/>
    <w:rsid w:val="00942ABA"/>
    <w:rsid w:val="00976948"/>
    <w:rsid w:val="00987ABB"/>
    <w:rsid w:val="00990D95"/>
    <w:rsid w:val="009D012F"/>
    <w:rsid w:val="009F2A82"/>
    <w:rsid w:val="00A07547"/>
    <w:rsid w:val="00A2716D"/>
    <w:rsid w:val="00A30C1F"/>
    <w:rsid w:val="00A316D0"/>
    <w:rsid w:val="00A31854"/>
    <w:rsid w:val="00A41D2E"/>
    <w:rsid w:val="00A4576A"/>
    <w:rsid w:val="00A74BE2"/>
    <w:rsid w:val="00A7736A"/>
    <w:rsid w:val="00A77986"/>
    <w:rsid w:val="00A901B8"/>
    <w:rsid w:val="00A91C72"/>
    <w:rsid w:val="00A93B9A"/>
    <w:rsid w:val="00AA0AF2"/>
    <w:rsid w:val="00AA3F60"/>
    <w:rsid w:val="00AA7336"/>
    <w:rsid w:val="00AF638B"/>
    <w:rsid w:val="00B2301B"/>
    <w:rsid w:val="00B235B6"/>
    <w:rsid w:val="00B240CB"/>
    <w:rsid w:val="00B240DE"/>
    <w:rsid w:val="00B30FE6"/>
    <w:rsid w:val="00B343D4"/>
    <w:rsid w:val="00B4252A"/>
    <w:rsid w:val="00B47656"/>
    <w:rsid w:val="00B54DF9"/>
    <w:rsid w:val="00B5703D"/>
    <w:rsid w:val="00B6704D"/>
    <w:rsid w:val="00B87954"/>
    <w:rsid w:val="00BA4DA6"/>
    <w:rsid w:val="00BA5326"/>
    <w:rsid w:val="00BC2A64"/>
    <w:rsid w:val="00BD1327"/>
    <w:rsid w:val="00BF417E"/>
    <w:rsid w:val="00C30334"/>
    <w:rsid w:val="00C32C9E"/>
    <w:rsid w:val="00C541AA"/>
    <w:rsid w:val="00C551CE"/>
    <w:rsid w:val="00CA0BB6"/>
    <w:rsid w:val="00CA460B"/>
    <w:rsid w:val="00CA5A96"/>
    <w:rsid w:val="00CA5D21"/>
    <w:rsid w:val="00CB39A7"/>
    <w:rsid w:val="00CB48DE"/>
    <w:rsid w:val="00CD3721"/>
    <w:rsid w:val="00CD50F3"/>
    <w:rsid w:val="00CE4AA3"/>
    <w:rsid w:val="00CF01DF"/>
    <w:rsid w:val="00CF0A45"/>
    <w:rsid w:val="00CF73E0"/>
    <w:rsid w:val="00D156B0"/>
    <w:rsid w:val="00D17007"/>
    <w:rsid w:val="00D17875"/>
    <w:rsid w:val="00D50E32"/>
    <w:rsid w:val="00D526C6"/>
    <w:rsid w:val="00D55F25"/>
    <w:rsid w:val="00D67A57"/>
    <w:rsid w:val="00D70648"/>
    <w:rsid w:val="00D817E4"/>
    <w:rsid w:val="00D843F6"/>
    <w:rsid w:val="00D91CDF"/>
    <w:rsid w:val="00DB3E00"/>
    <w:rsid w:val="00DC090A"/>
    <w:rsid w:val="00DC66CA"/>
    <w:rsid w:val="00DC7F57"/>
    <w:rsid w:val="00DE1688"/>
    <w:rsid w:val="00DE6638"/>
    <w:rsid w:val="00DF10FF"/>
    <w:rsid w:val="00DF39CD"/>
    <w:rsid w:val="00DF5A35"/>
    <w:rsid w:val="00E269AD"/>
    <w:rsid w:val="00E4411E"/>
    <w:rsid w:val="00E61193"/>
    <w:rsid w:val="00E61AB2"/>
    <w:rsid w:val="00E767EE"/>
    <w:rsid w:val="00E83D0C"/>
    <w:rsid w:val="00E85926"/>
    <w:rsid w:val="00EA137D"/>
    <w:rsid w:val="00EA5B67"/>
    <w:rsid w:val="00ED1ECD"/>
    <w:rsid w:val="00ED4F60"/>
    <w:rsid w:val="00ED6EAC"/>
    <w:rsid w:val="00EE742A"/>
    <w:rsid w:val="00F066B6"/>
    <w:rsid w:val="00F4502C"/>
    <w:rsid w:val="00F57A68"/>
    <w:rsid w:val="00F75BC6"/>
    <w:rsid w:val="00F76E06"/>
    <w:rsid w:val="00F77A0E"/>
    <w:rsid w:val="00F855D0"/>
    <w:rsid w:val="00F95AB5"/>
    <w:rsid w:val="00FB1BBC"/>
    <w:rsid w:val="00FD27F5"/>
    <w:rsid w:val="00FD7868"/>
    <w:rsid w:val="00FD7C9F"/>
    <w:rsid w:val="00FE76BC"/>
    <w:rsid w:val="00FF7EC6"/>
    <w:rsid w:val="01E6CA57"/>
    <w:rsid w:val="03F29778"/>
    <w:rsid w:val="0CCC7562"/>
    <w:rsid w:val="143397F3"/>
    <w:rsid w:val="19800551"/>
    <w:rsid w:val="21D4DE5C"/>
    <w:rsid w:val="25B49F5F"/>
    <w:rsid w:val="2AEEC895"/>
    <w:rsid w:val="2CFA3AFE"/>
    <w:rsid w:val="2FCDEA49"/>
    <w:rsid w:val="38E1F4EA"/>
    <w:rsid w:val="4280A0D2"/>
    <w:rsid w:val="48057038"/>
    <w:rsid w:val="49483542"/>
    <w:rsid w:val="4D852B09"/>
    <w:rsid w:val="4E8A756F"/>
    <w:rsid w:val="4ECD44EF"/>
    <w:rsid w:val="5B15FA01"/>
    <w:rsid w:val="6394BDBD"/>
    <w:rsid w:val="680DF54B"/>
    <w:rsid w:val="6AF8553B"/>
    <w:rsid w:val="6C9C24EE"/>
    <w:rsid w:val="764582B0"/>
    <w:rsid w:val="770916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8F10F"/>
  <w15:chartTrackingRefBased/>
  <w15:docId w15:val="{98027751-870B-4DA8-98A0-27D5AE3CF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2E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2E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2E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2E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2E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2E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2E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2E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2E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2E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2E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2E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2E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2E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2E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2E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2E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2E0F"/>
    <w:rPr>
      <w:rFonts w:eastAsiaTheme="majorEastAsia" w:cstheme="majorBidi"/>
      <w:color w:val="272727" w:themeColor="text1" w:themeTint="D8"/>
    </w:rPr>
  </w:style>
  <w:style w:type="paragraph" w:styleId="Title">
    <w:name w:val="Title"/>
    <w:basedOn w:val="Normal"/>
    <w:next w:val="Normal"/>
    <w:link w:val="TitleChar"/>
    <w:uiPriority w:val="10"/>
    <w:qFormat/>
    <w:rsid w:val="002E2E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2E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2E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2E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2E0F"/>
    <w:pPr>
      <w:spacing w:before="160"/>
      <w:jc w:val="center"/>
    </w:pPr>
    <w:rPr>
      <w:i/>
      <w:iCs/>
      <w:color w:val="404040" w:themeColor="text1" w:themeTint="BF"/>
    </w:rPr>
  </w:style>
  <w:style w:type="character" w:customStyle="1" w:styleId="QuoteChar">
    <w:name w:val="Quote Char"/>
    <w:basedOn w:val="DefaultParagraphFont"/>
    <w:link w:val="Quote"/>
    <w:uiPriority w:val="29"/>
    <w:rsid w:val="002E2E0F"/>
    <w:rPr>
      <w:i/>
      <w:iCs/>
      <w:color w:val="404040" w:themeColor="text1" w:themeTint="BF"/>
    </w:rPr>
  </w:style>
  <w:style w:type="paragraph" w:styleId="ListParagraph">
    <w:name w:val="List Paragraph"/>
    <w:basedOn w:val="Normal"/>
    <w:uiPriority w:val="34"/>
    <w:qFormat/>
    <w:rsid w:val="002E2E0F"/>
    <w:pPr>
      <w:ind w:left="720"/>
      <w:contextualSpacing/>
    </w:pPr>
  </w:style>
  <w:style w:type="character" w:styleId="IntenseEmphasis">
    <w:name w:val="Intense Emphasis"/>
    <w:basedOn w:val="DefaultParagraphFont"/>
    <w:uiPriority w:val="21"/>
    <w:qFormat/>
    <w:rsid w:val="002E2E0F"/>
    <w:rPr>
      <w:i/>
      <w:iCs/>
      <w:color w:val="0F4761" w:themeColor="accent1" w:themeShade="BF"/>
    </w:rPr>
  </w:style>
  <w:style w:type="paragraph" w:styleId="IntenseQuote">
    <w:name w:val="Intense Quote"/>
    <w:basedOn w:val="Normal"/>
    <w:next w:val="Normal"/>
    <w:link w:val="IntenseQuoteChar"/>
    <w:uiPriority w:val="30"/>
    <w:qFormat/>
    <w:rsid w:val="002E2E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2E0F"/>
    <w:rPr>
      <w:i/>
      <w:iCs/>
      <w:color w:val="0F4761" w:themeColor="accent1" w:themeShade="BF"/>
    </w:rPr>
  </w:style>
  <w:style w:type="character" w:styleId="IntenseReference">
    <w:name w:val="Intense Reference"/>
    <w:basedOn w:val="DefaultParagraphFont"/>
    <w:uiPriority w:val="32"/>
    <w:qFormat/>
    <w:rsid w:val="002E2E0F"/>
    <w:rPr>
      <w:b/>
      <w:bCs/>
      <w:smallCaps/>
      <w:color w:val="0F4761" w:themeColor="accent1" w:themeShade="BF"/>
      <w:spacing w:val="5"/>
    </w:rPr>
  </w:style>
  <w:style w:type="table" w:styleId="TableGrid">
    <w:name w:val="Table Grid"/>
    <w:basedOn w:val="TableNormal"/>
    <w:uiPriority w:val="39"/>
    <w:rsid w:val="00815F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70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704D"/>
  </w:style>
  <w:style w:type="paragraph" w:styleId="Footer">
    <w:name w:val="footer"/>
    <w:basedOn w:val="Normal"/>
    <w:link w:val="FooterChar"/>
    <w:uiPriority w:val="99"/>
    <w:unhideWhenUsed/>
    <w:rsid w:val="00B670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704D"/>
  </w:style>
  <w:style w:type="paragraph" w:styleId="Revision">
    <w:name w:val="Revision"/>
    <w:hidden/>
    <w:uiPriority w:val="99"/>
    <w:semiHidden/>
    <w:rsid w:val="00F4502C"/>
    <w:pPr>
      <w:spacing w:after="0" w:line="240" w:lineRule="auto"/>
    </w:pPr>
  </w:style>
  <w:style w:type="paragraph" w:customStyle="1" w:styleId="Pa21">
    <w:name w:val="Pa21"/>
    <w:basedOn w:val="Normal"/>
    <w:next w:val="Normal"/>
    <w:uiPriority w:val="99"/>
    <w:rsid w:val="0047743A"/>
    <w:pPr>
      <w:autoSpaceDE w:val="0"/>
      <w:autoSpaceDN w:val="0"/>
      <w:adjustRightInd w:val="0"/>
      <w:spacing w:after="0" w:line="221" w:lineRule="atLeast"/>
    </w:pPr>
    <w:rPr>
      <w:rFonts w:ascii="Calibri" w:hAnsi="Calibri" w:cs="Calibri"/>
      <w:kern w:val="0"/>
      <w:sz w:val="24"/>
      <w:szCs w:val="24"/>
    </w:rPr>
  </w:style>
  <w:style w:type="character" w:styleId="Hyperlink">
    <w:name w:val="Hyperlink"/>
    <w:basedOn w:val="DefaultParagraphFont"/>
    <w:uiPriority w:val="99"/>
    <w:unhideWhenUsed/>
    <w:rsid w:val="00813FAE"/>
    <w:rPr>
      <w:color w:val="467886" w:themeColor="hyperlink"/>
      <w:u w:val="single"/>
    </w:rPr>
  </w:style>
  <w:style w:type="character" w:styleId="UnresolvedMention">
    <w:name w:val="Unresolved Mention"/>
    <w:basedOn w:val="DefaultParagraphFont"/>
    <w:uiPriority w:val="99"/>
    <w:semiHidden/>
    <w:unhideWhenUsed/>
    <w:rsid w:val="00813FAE"/>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tandardsreview@ohsc.org.za"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CC469-12E7-49DC-ABFB-1A48B770D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1362</Words>
  <Characters>7767</Characters>
  <Application>Microsoft Office Word</Application>
  <DocSecurity>0</DocSecurity>
  <Lines>64</Lines>
  <Paragraphs>18</Paragraphs>
  <ScaleCrop>false</ScaleCrop>
  <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Ntombizodwa Kobuwe</dc:creator>
  <cp:keywords/>
  <dc:description/>
  <cp:lastModifiedBy>Ntombizodwa Kobuwe</cp:lastModifiedBy>
  <cp:revision>12</cp:revision>
  <dcterms:created xsi:type="dcterms:W3CDTF">2026-10-05T05:23:00Z</dcterms:created>
  <dcterms:modified xsi:type="dcterms:W3CDTF">2026-10-05T05:40:00Z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5e9822ab-f41f-408c-8546-9654449fa263</vt:lpwstr>
  </property>
</Properties>
</file>