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2D3D" w14:textId="0C344C3D" w:rsidR="005F7372" w:rsidRPr="00D33A1E" w:rsidRDefault="00FF5F5D">
      <w:pPr>
        <w:rPr>
          <w:rFonts w:cs="Arial"/>
          <w:noProof/>
          <w:lang w:val="en-ZA" w:eastAsia="en-ZA"/>
        </w:rPr>
      </w:pPr>
      <w:r w:rsidRPr="00D33A1E">
        <w:rPr>
          <w:rFonts w:cs="Arial"/>
          <w:noProof/>
          <w:lang w:val="en-ZA" w:eastAsia="en-ZA"/>
        </w:rPr>
        <w:drawing>
          <wp:anchor distT="0" distB="0" distL="114300" distR="114300" simplePos="0" relativeHeight="251659264" behindDoc="0" locked="0" layoutInCell="1" allowOverlap="1" wp14:anchorId="4D5D834C" wp14:editId="5C4BDD0E">
            <wp:simplePos x="0" y="0"/>
            <wp:positionH relativeFrom="margin">
              <wp:align>center</wp:align>
            </wp:positionH>
            <wp:positionV relativeFrom="paragraph">
              <wp:posOffset>0</wp:posOffset>
            </wp:positionV>
            <wp:extent cx="1930400" cy="1242695"/>
            <wp:effectExtent l="0" t="0" r="0" b="0"/>
            <wp:wrapSquare wrapText="bothSides"/>
            <wp:docPr id="2" name="Picture 2" descr="C:\Users\user\Documents\Branding and Advertising\Final Templates\Logo\OHSC Hi-r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Branding and Advertising\Final Templates\Logo\OHSC Hi-res Logo.jpg"/>
                    <pic:cNvPicPr>
                      <a:picLocks noChangeAspect="1" noChangeArrowheads="1"/>
                    </pic:cNvPicPr>
                  </pic:nvPicPr>
                  <pic:blipFill>
                    <a:blip r:embed="rId5" cstate="print"/>
                    <a:srcRect/>
                    <a:stretch>
                      <a:fillRect/>
                    </a:stretch>
                  </pic:blipFill>
                  <pic:spPr bwMode="auto">
                    <a:xfrm>
                      <a:off x="0" y="0"/>
                      <a:ext cx="1930400" cy="12426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0E25C63" w14:textId="77777777" w:rsidR="00FF5F5D" w:rsidRPr="00D33A1E" w:rsidRDefault="00FF5F5D"/>
    <w:p w14:paraId="06CD7E8C" w14:textId="77777777" w:rsidR="00FF5F5D" w:rsidRPr="00D33A1E" w:rsidRDefault="00FF5F5D"/>
    <w:p w14:paraId="03D0D28E" w14:textId="77777777" w:rsidR="00FF5F5D" w:rsidRPr="00D33A1E" w:rsidRDefault="00FF5F5D"/>
    <w:p w14:paraId="31B02F33" w14:textId="3DA3E296" w:rsidR="00FF5F5D" w:rsidRPr="00D33A1E" w:rsidRDefault="00FF5F5D">
      <w:pPr>
        <w:rPr>
          <w:b/>
          <w:bCs/>
          <w:u w:val="single"/>
        </w:rPr>
      </w:pPr>
    </w:p>
    <w:p w14:paraId="5CC278BF" w14:textId="77777777" w:rsidR="00FF5F5D" w:rsidRPr="00451ED9" w:rsidRDefault="00FF5F5D" w:rsidP="00FF5F5D">
      <w:pPr>
        <w:jc w:val="center"/>
        <w:rPr>
          <w:rFonts w:cs="Arial"/>
          <w:b/>
          <w:bCs/>
          <w:sz w:val="22"/>
          <w:szCs w:val="22"/>
          <w:u w:val="single"/>
        </w:rPr>
      </w:pPr>
      <w:r w:rsidRPr="00451ED9">
        <w:rPr>
          <w:rFonts w:cs="Arial"/>
          <w:b/>
          <w:bCs/>
          <w:sz w:val="22"/>
          <w:szCs w:val="22"/>
          <w:u w:val="single"/>
        </w:rPr>
        <w:t>STAKEHOLDER INPUT TEMPLATE</w:t>
      </w:r>
    </w:p>
    <w:p w14:paraId="2C22397A" w14:textId="7BCAD43E" w:rsidR="00FF5F5D" w:rsidRPr="00451ED9" w:rsidRDefault="00FF5F5D" w:rsidP="00FF5F5D">
      <w:pPr>
        <w:jc w:val="center"/>
        <w:rPr>
          <w:rFonts w:cs="Arial"/>
          <w:b/>
          <w:bCs/>
          <w:sz w:val="22"/>
          <w:szCs w:val="22"/>
          <w:u w:val="single"/>
        </w:rPr>
      </w:pPr>
      <w:r w:rsidRPr="00451ED9">
        <w:rPr>
          <w:rFonts w:cs="Arial"/>
          <w:b/>
          <w:bCs/>
          <w:sz w:val="22"/>
          <w:szCs w:val="22"/>
          <w:u w:val="single"/>
        </w:rPr>
        <w:t>Draft 1</w:t>
      </w:r>
      <w:r w:rsidR="00A227A2" w:rsidRPr="00451ED9">
        <w:rPr>
          <w:rFonts w:cs="Arial"/>
          <w:b/>
          <w:bCs/>
          <w:sz w:val="22"/>
          <w:szCs w:val="22"/>
          <w:u w:val="single"/>
        </w:rPr>
        <w:t>.1</w:t>
      </w:r>
      <w:r w:rsidRPr="00451ED9">
        <w:rPr>
          <w:rFonts w:cs="Arial"/>
          <w:b/>
          <w:bCs/>
          <w:sz w:val="22"/>
          <w:szCs w:val="22"/>
          <w:u w:val="single"/>
        </w:rPr>
        <w:t>: Review of the 2018 Norms and Standards Regulations</w:t>
      </w:r>
    </w:p>
    <w:p w14:paraId="005F838D" w14:textId="0B8E640D" w:rsidR="00FF5F5D" w:rsidRPr="00D33A1E" w:rsidRDefault="00FF5F5D" w:rsidP="00FF5F5D">
      <w:pPr>
        <w:rPr>
          <w:rFonts w:cs="Arial"/>
          <w:sz w:val="22"/>
          <w:szCs w:val="22"/>
          <w:u w:val="single"/>
        </w:rPr>
      </w:pPr>
    </w:p>
    <w:p w14:paraId="1BAAB41B" w14:textId="50637EB6" w:rsidR="00FF5F5D" w:rsidRPr="00D33A1E" w:rsidRDefault="00FF5F5D" w:rsidP="00FA1E91">
      <w:pPr>
        <w:pStyle w:val="ListParagraph"/>
        <w:numPr>
          <w:ilvl w:val="0"/>
          <w:numId w:val="5"/>
        </w:numPr>
        <w:jc w:val="both"/>
        <w:rPr>
          <w:rFonts w:cs="Arial"/>
          <w:b/>
          <w:bCs/>
          <w:sz w:val="22"/>
          <w:szCs w:val="22"/>
        </w:rPr>
      </w:pPr>
      <w:r w:rsidRPr="00D33A1E">
        <w:rPr>
          <w:rFonts w:cs="Arial"/>
          <w:b/>
          <w:bCs/>
          <w:sz w:val="22"/>
          <w:szCs w:val="22"/>
        </w:rPr>
        <w:t>PURPOSE</w:t>
      </w:r>
    </w:p>
    <w:p w14:paraId="7ECC35A3" w14:textId="2EDBFA84" w:rsidR="00FF5F5D" w:rsidRPr="00D33A1E" w:rsidRDefault="00FF5F5D" w:rsidP="00FA1E91">
      <w:pPr>
        <w:ind w:left="360"/>
        <w:jc w:val="both"/>
        <w:rPr>
          <w:rFonts w:cs="Arial"/>
          <w:sz w:val="22"/>
          <w:szCs w:val="22"/>
        </w:rPr>
      </w:pPr>
      <w:r w:rsidRPr="00D33A1E">
        <w:rPr>
          <w:rFonts w:cs="Arial"/>
          <w:sz w:val="22"/>
          <w:szCs w:val="22"/>
        </w:rPr>
        <w:t>The Office of Health Standards Compliance (OHSC)</w:t>
      </w:r>
      <w:r w:rsidR="00412A4A">
        <w:rPr>
          <w:rFonts w:cs="Arial"/>
          <w:sz w:val="22"/>
          <w:szCs w:val="22"/>
        </w:rPr>
        <w:t xml:space="preserve"> working together with a national technical working group </w:t>
      </w:r>
      <w:r w:rsidRPr="00D33A1E">
        <w:rPr>
          <w:rFonts w:cs="Arial"/>
          <w:sz w:val="22"/>
          <w:szCs w:val="22"/>
        </w:rPr>
        <w:t xml:space="preserve">is undertaking a review of the </w:t>
      </w:r>
      <w:r w:rsidRPr="00D33A1E">
        <w:rPr>
          <w:rFonts w:cs="Arial"/>
          <w:b/>
          <w:bCs/>
          <w:sz w:val="22"/>
          <w:szCs w:val="22"/>
        </w:rPr>
        <w:t>2018 Norms and Standards Regulations</w:t>
      </w:r>
      <w:r w:rsidRPr="00D33A1E">
        <w:rPr>
          <w:rFonts w:cs="Arial"/>
          <w:sz w:val="22"/>
          <w:szCs w:val="22"/>
        </w:rPr>
        <w:t>.</w:t>
      </w:r>
      <w:r w:rsidR="009B69E0" w:rsidRPr="009B69E0">
        <w:t xml:space="preserve"> </w:t>
      </w:r>
      <w:r w:rsidR="009B69E0" w:rsidRPr="009B69E0">
        <w:rPr>
          <w:rFonts w:cs="Arial"/>
          <w:sz w:val="22"/>
          <w:szCs w:val="22"/>
        </w:rPr>
        <w:t>The primary objective of the review is to strengthen the regulatory framework by addressing identified gaps and limitations, ensuring that the norms and standards are robust, risk-informed, and responsive to the evolving healthcare environment. Particular emphasis is being placed on enhancing the comprehensiveness and applicability of the regulations across a wider range of health establishment categories including measurement of health outcomes. This will enable the development of standardised, risk-based inspection tools that can be applied consistently across services, reducing fragmentation and regulatory duplication.</w:t>
      </w:r>
    </w:p>
    <w:p w14:paraId="7B32B981" w14:textId="06F7A12A" w:rsidR="00FF5F5D" w:rsidRPr="00D33A1E" w:rsidRDefault="00FF5F5D" w:rsidP="00FA1E91">
      <w:pPr>
        <w:ind w:left="360"/>
        <w:jc w:val="both"/>
        <w:rPr>
          <w:rFonts w:cs="Arial"/>
          <w:sz w:val="22"/>
          <w:szCs w:val="22"/>
        </w:rPr>
      </w:pPr>
      <w:r w:rsidRPr="00D33A1E">
        <w:rPr>
          <w:rFonts w:cs="Arial"/>
          <w:sz w:val="22"/>
          <w:szCs w:val="22"/>
        </w:rPr>
        <w:t>Draft 1</w:t>
      </w:r>
      <w:r w:rsidR="00BC052A" w:rsidRPr="00D33A1E">
        <w:rPr>
          <w:rFonts w:cs="Arial"/>
          <w:sz w:val="22"/>
          <w:szCs w:val="22"/>
        </w:rPr>
        <w:t>.1</w:t>
      </w:r>
      <w:r w:rsidR="00CC2471" w:rsidRPr="00D33A1E">
        <w:rPr>
          <w:rFonts w:cs="Arial"/>
          <w:sz w:val="22"/>
          <w:szCs w:val="22"/>
        </w:rPr>
        <w:t xml:space="preserve"> of the </w:t>
      </w:r>
      <w:r w:rsidR="00DB1A8B" w:rsidRPr="00D33A1E">
        <w:rPr>
          <w:rFonts w:cs="Arial"/>
          <w:sz w:val="22"/>
          <w:szCs w:val="22"/>
        </w:rPr>
        <w:t>revised norms and standards</w:t>
      </w:r>
      <w:r w:rsidRPr="00D33A1E">
        <w:rPr>
          <w:rFonts w:cs="Arial"/>
          <w:sz w:val="22"/>
          <w:szCs w:val="22"/>
        </w:rPr>
        <w:t xml:space="preserve"> has been developed for consultation with </w:t>
      </w:r>
      <w:r w:rsidR="00DB1A8B" w:rsidRPr="00D33A1E">
        <w:rPr>
          <w:rFonts w:cs="Arial"/>
          <w:sz w:val="22"/>
          <w:szCs w:val="22"/>
        </w:rPr>
        <w:t xml:space="preserve">sector </w:t>
      </w:r>
      <w:r w:rsidRPr="00D33A1E">
        <w:rPr>
          <w:rFonts w:cs="Arial"/>
          <w:sz w:val="22"/>
          <w:szCs w:val="22"/>
        </w:rPr>
        <w:t xml:space="preserve">stakeholders. Stakeholders are invited to provide comments and recommendations on the proposed </w:t>
      </w:r>
      <w:r w:rsidR="00424A1D" w:rsidRPr="00D33A1E">
        <w:rPr>
          <w:rFonts w:cs="Arial"/>
          <w:sz w:val="22"/>
          <w:szCs w:val="22"/>
        </w:rPr>
        <w:t>standards.</w:t>
      </w:r>
    </w:p>
    <w:p w14:paraId="293DE642" w14:textId="66FCCF6B" w:rsidR="00FA1E91" w:rsidRDefault="002300F0" w:rsidP="00FA1E91">
      <w:pPr>
        <w:ind w:left="360"/>
        <w:jc w:val="both"/>
        <w:rPr>
          <w:rFonts w:cs="Arial"/>
          <w:sz w:val="22"/>
          <w:szCs w:val="22"/>
        </w:rPr>
      </w:pPr>
      <w:r w:rsidRPr="00D33A1E">
        <w:rPr>
          <w:rFonts w:cs="Arial"/>
          <w:sz w:val="22"/>
          <w:szCs w:val="22"/>
        </w:rPr>
        <w:t xml:space="preserve">This template is designed for stakeholders to submit written comments </w:t>
      </w:r>
      <w:r w:rsidR="00D31A11">
        <w:rPr>
          <w:rFonts w:cs="Arial"/>
          <w:sz w:val="22"/>
          <w:szCs w:val="22"/>
        </w:rPr>
        <w:t xml:space="preserve">during and </w:t>
      </w:r>
      <w:r w:rsidRPr="00D33A1E">
        <w:rPr>
          <w:rFonts w:cs="Arial"/>
          <w:sz w:val="22"/>
          <w:szCs w:val="22"/>
        </w:rPr>
        <w:t>after participating in a consultation session</w:t>
      </w:r>
      <w:r w:rsidR="00BC4944" w:rsidRPr="00D33A1E">
        <w:rPr>
          <w:rFonts w:cs="Arial"/>
          <w:sz w:val="22"/>
          <w:szCs w:val="22"/>
        </w:rPr>
        <w:t xml:space="preserve"> or when they were unable to attend and/or wish</w:t>
      </w:r>
      <w:r w:rsidRPr="00D33A1E">
        <w:rPr>
          <w:rFonts w:cs="Arial"/>
          <w:sz w:val="22"/>
          <w:szCs w:val="22"/>
        </w:rPr>
        <w:t xml:space="preserve"> to provide additional comments.</w:t>
      </w:r>
    </w:p>
    <w:p w14:paraId="69AB73B5" w14:textId="77777777" w:rsidR="00451ED9" w:rsidRDefault="00451ED9" w:rsidP="00FA1E91">
      <w:pPr>
        <w:ind w:left="360"/>
        <w:jc w:val="both"/>
        <w:rPr>
          <w:rFonts w:cs="Arial"/>
          <w:sz w:val="22"/>
          <w:szCs w:val="22"/>
        </w:rPr>
      </w:pPr>
    </w:p>
    <w:p w14:paraId="434DF46C" w14:textId="77777777" w:rsidR="00451ED9" w:rsidRPr="00D33A1E" w:rsidRDefault="00451ED9" w:rsidP="00FA1E91">
      <w:pPr>
        <w:ind w:left="360"/>
        <w:jc w:val="both"/>
        <w:rPr>
          <w:rFonts w:cs="Arial"/>
          <w:sz w:val="22"/>
          <w:szCs w:val="22"/>
        </w:rPr>
      </w:pPr>
    </w:p>
    <w:p w14:paraId="0ED5872A" w14:textId="1863DE7E" w:rsidR="00FF5F5D" w:rsidRPr="00D33A1E" w:rsidRDefault="00FF5F5D" w:rsidP="00FA1E91">
      <w:pPr>
        <w:pStyle w:val="ListParagraph"/>
        <w:numPr>
          <w:ilvl w:val="0"/>
          <w:numId w:val="5"/>
        </w:numPr>
        <w:jc w:val="both"/>
        <w:rPr>
          <w:rFonts w:cs="Arial"/>
          <w:sz w:val="22"/>
          <w:szCs w:val="22"/>
        </w:rPr>
      </w:pPr>
      <w:r w:rsidRPr="00D33A1E">
        <w:rPr>
          <w:rFonts w:cs="Arial"/>
          <w:b/>
          <w:bCs/>
          <w:sz w:val="22"/>
          <w:szCs w:val="22"/>
        </w:rPr>
        <w:lastRenderedPageBreak/>
        <w:t>STAKEHOLDER DETAILS</w:t>
      </w:r>
    </w:p>
    <w:p w14:paraId="45322D2F" w14:textId="7A658E52" w:rsidR="00FF5F5D" w:rsidRPr="00D33A1E" w:rsidRDefault="00FF5F5D" w:rsidP="00D72192">
      <w:pPr>
        <w:ind w:firstLine="360"/>
        <w:jc w:val="both"/>
        <w:rPr>
          <w:rFonts w:cs="Arial"/>
          <w:sz w:val="22"/>
          <w:szCs w:val="22"/>
        </w:rPr>
      </w:pPr>
      <w:r w:rsidRPr="00D33A1E">
        <w:rPr>
          <w:rFonts w:cs="Arial"/>
          <w:b/>
          <w:bCs/>
          <w:sz w:val="22"/>
          <w:szCs w:val="22"/>
        </w:rPr>
        <w:t xml:space="preserve">Name of </w:t>
      </w:r>
      <w:r w:rsidR="00D72192" w:rsidRPr="00D33A1E">
        <w:rPr>
          <w:rFonts w:cs="Arial"/>
          <w:b/>
          <w:bCs/>
          <w:sz w:val="22"/>
          <w:szCs w:val="22"/>
        </w:rPr>
        <w:t>organisation/institution</w:t>
      </w:r>
      <w:r w:rsidRPr="00D33A1E">
        <w:rPr>
          <w:rFonts w:cs="Arial"/>
          <w:b/>
          <w:bCs/>
          <w:sz w:val="22"/>
          <w:szCs w:val="22"/>
        </w:rPr>
        <w:t>:</w:t>
      </w:r>
      <w:r w:rsidR="00D72192" w:rsidRPr="00D33A1E">
        <w:rPr>
          <w:rFonts w:cs="Arial"/>
          <w:b/>
          <w:bCs/>
          <w:sz w:val="22"/>
          <w:szCs w:val="22"/>
        </w:rPr>
        <w:t xml:space="preserve"> </w:t>
      </w:r>
    </w:p>
    <w:p w14:paraId="1C552F2A" w14:textId="77777777" w:rsidR="00BC4944" w:rsidRPr="00D33A1E" w:rsidRDefault="00FF5F5D" w:rsidP="00BC4944">
      <w:pPr>
        <w:ind w:firstLine="360"/>
        <w:jc w:val="both"/>
        <w:rPr>
          <w:rFonts w:cs="Arial"/>
          <w:sz w:val="22"/>
          <w:szCs w:val="22"/>
        </w:rPr>
      </w:pPr>
      <w:r w:rsidRPr="00D33A1E">
        <w:rPr>
          <w:rFonts w:cs="Arial"/>
          <w:b/>
          <w:bCs/>
          <w:sz w:val="22"/>
          <w:szCs w:val="22"/>
        </w:rPr>
        <w:t>Name of person submitting comments:</w:t>
      </w:r>
    </w:p>
    <w:p w14:paraId="08186F7B" w14:textId="3B7528CA" w:rsidR="00FF5F5D" w:rsidRPr="00D33A1E" w:rsidRDefault="00C12A63" w:rsidP="00BC4944">
      <w:pPr>
        <w:ind w:firstLine="360"/>
        <w:jc w:val="both"/>
        <w:rPr>
          <w:rFonts w:cs="Arial"/>
          <w:sz w:val="22"/>
          <w:szCs w:val="22"/>
        </w:rPr>
      </w:pPr>
      <w:r w:rsidRPr="00D33A1E">
        <w:rPr>
          <w:rFonts w:cs="Arial"/>
          <w:b/>
          <w:bCs/>
          <w:sz w:val="22"/>
          <w:szCs w:val="22"/>
        </w:rPr>
        <w:t>Position/designation</w:t>
      </w:r>
      <w:r w:rsidR="00BC4944" w:rsidRPr="00D33A1E">
        <w:rPr>
          <w:rFonts w:cs="Arial"/>
          <w:b/>
          <w:bCs/>
          <w:sz w:val="22"/>
          <w:szCs w:val="22"/>
        </w:rPr>
        <w:t xml:space="preserve"> (optional)</w:t>
      </w:r>
      <w:r w:rsidR="00FF5F5D" w:rsidRPr="00D33A1E">
        <w:rPr>
          <w:rFonts w:cs="Arial"/>
          <w:b/>
          <w:bCs/>
          <w:sz w:val="22"/>
          <w:szCs w:val="22"/>
        </w:rPr>
        <w:t>:</w:t>
      </w:r>
    </w:p>
    <w:p w14:paraId="2C7980DA" w14:textId="26D79023" w:rsidR="00FF5F5D" w:rsidRPr="00D33A1E" w:rsidRDefault="00FF5F5D" w:rsidP="00BC4944">
      <w:pPr>
        <w:ind w:firstLine="360"/>
        <w:jc w:val="both"/>
        <w:rPr>
          <w:rFonts w:cs="Arial"/>
          <w:sz w:val="22"/>
          <w:szCs w:val="22"/>
        </w:rPr>
      </w:pPr>
      <w:r w:rsidRPr="00D33A1E">
        <w:rPr>
          <w:rFonts w:cs="Arial"/>
          <w:b/>
          <w:bCs/>
          <w:sz w:val="22"/>
          <w:szCs w:val="22"/>
        </w:rPr>
        <w:t>Stakeholder category</w:t>
      </w:r>
      <w:r w:rsidR="00C12A63" w:rsidRPr="00D33A1E">
        <w:rPr>
          <w:rFonts w:cs="Arial"/>
          <w:b/>
          <w:bCs/>
          <w:sz w:val="22"/>
          <w:szCs w:val="22"/>
        </w:rPr>
        <w:t xml:space="preserve"> (tick</w:t>
      </w:r>
      <w:r w:rsidR="00B25FCE" w:rsidRPr="00D33A1E">
        <w:rPr>
          <w:rFonts w:cs="Arial"/>
          <w:b/>
          <w:bCs/>
          <w:sz w:val="22"/>
          <w:szCs w:val="22"/>
        </w:rPr>
        <w:t xml:space="preserve"> or mark with an X</w:t>
      </w:r>
      <w:r w:rsidR="00C12A63" w:rsidRPr="00D33A1E">
        <w:rPr>
          <w:rFonts w:cs="Arial"/>
          <w:b/>
          <w:bCs/>
          <w:sz w:val="22"/>
          <w:szCs w:val="22"/>
        </w:rPr>
        <w:t xml:space="preserve"> where applica</w:t>
      </w:r>
      <w:r w:rsidR="00B25FCE" w:rsidRPr="00D33A1E">
        <w:rPr>
          <w:rFonts w:cs="Arial"/>
          <w:b/>
          <w:bCs/>
          <w:sz w:val="22"/>
          <w:szCs w:val="22"/>
        </w:rPr>
        <w:t>ble)</w:t>
      </w:r>
      <w:r w:rsidRPr="00D33A1E">
        <w:rPr>
          <w:rFonts w:cs="Arial"/>
          <w:b/>
          <w:bCs/>
          <w:sz w:val="22"/>
          <w:szCs w:val="22"/>
        </w:rPr>
        <w:t>:</w:t>
      </w:r>
    </w:p>
    <w:p w14:paraId="4C50E364" w14:textId="1724EA69" w:rsidR="00FF5F5D" w:rsidRPr="00D33A1E" w:rsidRDefault="00FF5F5D" w:rsidP="00B25FCE">
      <w:pPr>
        <w:ind w:left="360"/>
        <w:rPr>
          <w:rFonts w:cs="Arial"/>
          <w:sz w:val="22"/>
          <w:szCs w:val="22"/>
        </w:rPr>
      </w:pPr>
      <w:r w:rsidRPr="00D33A1E">
        <w:rPr>
          <w:rFonts w:cs="Segoe UI Symbol"/>
          <w:sz w:val="22"/>
          <w:szCs w:val="22"/>
        </w:rPr>
        <w:t>☐</w:t>
      </w:r>
      <w:r w:rsidRPr="00D33A1E">
        <w:rPr>
          <w:rFonts w:cs="Arial"/>
          <w:sz w:val="22"/>
          <w:szCs w:val="22"/>
        </w:rPr>
        <w:t xml:space="preserve"> Health professional</w:t>
      </w:r>
      <w:r w:rsidRPr="00D33A1E">
        <w:rPr>
          <w:rFonts w:cs="Arial"/>
          <w:sz w:val="22"/>
          <w:szCs w:val="22"/>
        </w:rPr>
        <w:br/>
      </w:r>
      <w:r w:rsidRPr="00D33A1E">
        <w:rPr>
          <w:rFonts w:cs="Segoe UI Symbol"/>
          <w:sz w:val="22"/>
          <w:szCs w:val="22"/>
        </w:rPr>
        <w:t>☐</w:t>
      </w:r>
      <w:r w:rsidRPr="00D33A1E">
        <w:rPr>
          <w:rFonts w:cs="Arial"/>
          <w:sz w:val="22"/>
          <w:szCs w:val="22"/>
        </w:rPr>
        <w:t xml:space="preserve"> Health establishment</w:t>
      </w:r>
      <w:r w:rsidRPr="00D33A1E">
        <w:rPr>
          <w:rFonts w:cs="Arial"/>
          <w:sz w:val="22"/>
          <w:szCs w:val="22"/>
        </w:rPr>
        <w:br/>
      </w:r>
      <w:r w:rsidRPr="00D33A1E">
        <w:rPr>
          <w:rFonts w:cs="Segoe UI Symbol"/>
          <w:sz w:val="22"/>
          <w:szCs w:val="22"/>
        </w:rPr>
        <w:t>☐</w:t>
      </w:r>
      <w:r w:rsidRPr="00D33A1E">
        <w:rPr>
          <w:rFonts w:cs="Arial"/>
          <w:sz w:val="22"/>
          <w:szCs w:val="22"/>
        </w:rPr>
        <w:t xml:space="preserve"> Professional </w:t>
      </w:r>
      <w:r w:rsidR="00B25FCE" w:rsidRPr="00D33A1E">
        <w:rPr>
          <w:rFonts w:cs="Arial"/>
          <w:sz w:val="22"/>
          <w:szCs w:val="22"/>
        </w:rPr>
        <w:t>body/association</w:t>
      </w:r>
      <w:r w:rsidRPr="00D33A1E">
        <w:rPr>
          <w:rFonts w:cs="Arial"/>
          <w:sz w:val="22"/>
          <w:szCs w:val="22"/>
        </w:rPr>
        <w:br/>
      </w:r>
      <w:r w:rsidRPr="00D33A1E">
        <w:rPr>
          <w:rFonts w:cs="Segoe UI Symbol"/>
          <w:sz w:val="22"/>
          <w:szCs w:val="22"/>
        </w:rPr>
        <w:t>☐</w:t>
      </w:r>
      <w:r w:rsidRPr="00D33A1E">
        <w:rPr>
          <w:rFonts w:cs="Arial"/>
          <w:sz w:val="22"/>
          <w:szCs w:val="22"/>
        </w:rPr>
        <w:t xml:space="preserve"> </w:t>
      </w:r>
      <w:r w:rsidR="00B25FCE" w:rsidRPr="00D33A1E">
        <w:rPr>
          <w:rFonts w:cs="Arial"/>
          <w:sz w:val="22"/>
          <w:szCs w:val="22"/>
        </w:rPr>
        <w:t>Community/patient</w:t>
      </w:r>
      <w:r w:rsidRPr="00D33A1E">
        <w:rPr>
          <w:rFonts w:cs="Arial"/>
          <w:sz w:val="22"/>
          <w:szCs w:val="22"/>
        </w:rPr>
        <w:t xml:space="preserve"> representative</w:t>
      </w:r>
      <w:r w:rsidRPr="00D33A1E">
        <w:rPr>
          <w:rFonts w:cs="Arial"/>
          <w:sz w:val="22"/>
          <w:szCs w:val="22"/>
        </w:rPr>
        <w:br/>
      </w:r>
      <w:r w:rsidRPr="00D33A1E">
        <w:rPr>
          <w:rFonts w:cs="Segoe UI Symbol"/>
          <w:sz w:val="22"/>
          <w:szCs w:val="22"/>
        </w:rPr>
        <w:t>☐</w:t>
      </w:r>
      <w:r w:rsidRPr="00D33A1E">
        <w:rPr>
          <w:rFonts w:cs="Arial"/>
          <w:sz w:val="22"/>
          <w:szCs w:val="22"/>
        </w:rPr>
        <w:t xml:space="preserve"> Civil society organisation</w:t>
      </w:r>
      <w:r w:rsidRPr="00D33A1E">
        <w:rPr>
          <w:rFonts w:cs="Arial"/>
          <w:sz w:val="22"/>
          <w:szCs w:val="22"/>
        </w:rPr>
        <w:br/>
      </w:r>
      <w:r w:rsidRPr="00D33A1E">
        <w:rPr>
          <w:rFonts w:cs="Segoe UI Symbol"/>
          <w:sz w:val="22"/>
          <w:szCs w:val="22"/>
        </w:rPr>
        <w:t>☐</w:t>
      </w:r>
      <w:r w:rsidRPr="00D33A1E">
        <w:rPr>
          <w:rFonts w:cs="Arial"/>
          <w:sz w:val="22"/>
          <w:szCs w:val="22"/>
        </w:rPr>
        <w:t xml:space="preserve"> Academic / research institution</w:t>
      </w:r>
      <w:r w:rsidRPr="00D33A1E">
        <w:rPr>
          <w:rFonts w:cs="Arial"/>
          <w:sz w:val="22"/>
          <w:szCs w:val="22"/>
        </w:rPr>
        <w:br/>
      </w:r>
      <w:r w:rsidRPr="00D33A1E">
        <w:rPr>
          <w:rFonts w:cs="Segoe UI Symbol"/>
          <w:sz w:val="22"/>
          <w:szCs w:val="22"/>
        </w:rPr>
        <w:t>☐</w:t>
      </w:r>
      <w:r w:rsidRPr="00D33A1E">
        <w:rPr>
          <w:rFonts w:cs="Arial"/>
          <w:sz w:val="22"/>
          <w:szCs w:val="22"/>
        </w:rPr>
        <w:t xml:space="preserve"> National Department of Health</w:t>
      </w:r>
      <w:r w:rsidRPr="00D33A1E">
        <w:rPr>
          <w:rFonts w:cs="Arial"/>
          <w:sz w:val="22"/>
          <w:szCs w:val="22"/>
        </w:rPr>
        <w:br/>
      </w:r>
      <w:r w:rsidRPr="00D33A1E">
        <w:rPr>
          <w:rFonts w:cs="Segoe UI Symbol"/>
          <w:sz w:val="22"/>
          <w:szCs w:val="22"/>
        </w:rPr>
        <w:t>☐</w:t>
      </w:r>
      <w:r w:rsidRPr="00D33A1E">
        <w:rPr>
          <w:rFonts w:cs="Arial"/>
          <w:sz w:val="22"/>
          <w:szCs w:val="22"/>
        </w:rPr>
        <w:t xml:space="preserve"> Provincial Department of Health</w:t>
      </w:r>
      <w:r w:rsidRPr="00D33A1E">
        <w:rPr>
          <w:rFonts w:cs="Arial"/>
          <w:sz w:val="22"/>
          <w:szCs w:val="22"/>
        </w:rPr>
        <w:br/>
      </w:r>
      <w:r w:rsidRPr="00D33A1E">
        <w:rPr>
          <w:rFonts w:cs="Segoe UI Symbol"/>
          <w:sz w:val="22"/>
          <w:szCs w:val="22"/>
        </w:rPr>
        <w:t>☐</w:t>
      </w:r>
      <w:r w:rsidRPr="00D33A1E">
        <w:rPr>
          <w:rFonts w:cs="Arial"/>
          <w:sz w:val="22"/>
          <w:szCs w:val="22"/>
        </w:rPr>
        <w:t xml:space="preserve"> District Health Management Team</w:t>
      </w:r>
      <w:r w:rsidRPr="00D33A1E">
        <w:rPr>
          <w:rFonts w:cs="Arial"/>
          <w:sz w:val="22"/>
          <w:szCs w:val="22"/>
        </w:rPr>
        <w:br/>
      </w:r>
      <w:r w:rsidRPr="00D33A1E">
        <w:rPr>
          <w:rFonts w:cs="Segoe UI Symbol"/>
          <w:sz w:val="22"/>
          <w:szCs w:val="22"/>
        </w:rPr>
        <w:t>☐</w:t>
      </w:r>
      <w:r w:rsidRPr="00D33A1E">
        <w:rPr>
          <w:rFonts w:cs="Arial"/>
          <w:sz w:val="22"/>
          <w:szCs w:val="22"/>
        </w:rPr>
        <w:t xml:space="preserve"> Regulatory authority</w:t>
      </w:r>
      <w:r w:rsidRPr="00D33A1E">
        <w:rPr>
          <w:rFonts w:cs="Arial"/>
          <w:sz w:val="22"/>
          <w:szCs w:val="22"/>
        </w:rPr>
        <w:br/>
      </w:r>
      <w:r w:rsidRPr="00D33A1E">
        <w:rPr>
          <w:rFonts w:cs="Segoe UI Symbol"/>
          <w:sz w:val="22"/>
          <w:szCs w:val="22"/>
        </w:rPr>
        <w:t>☐</w:t>
      </w:r>
      <w:r w:rsidRPr="00D33A1E">
        <w:rPr>
          <w:rFonts w:cs="Arial"/>
          <w:sz w:val="22"/>
          <w:szCs w:val="22"/>
        </w:rPr>
        <w:t xml:space="preserve"> Trade union</w:t>
      </w:r>
      <w:r w:rsidRPr="00D33A1E">
        <w:rPr>
          <w:rFonts w:cs="Arial"/>
          <w:sz w:val="22"/>
          <w:szCs w:val="22"/>
        </w:rPr>
        <w:br/>
      </w:r>
      <w:r w:rsidRPr="00D33A1E">
        <w:rPr>
          <w:rFonts w:cs="Segoe UI Symbol"/>
          <w:sz w:val="22"/>
          <w:szCs w:val="22"/>
        </w:rPr>
        <w:t>☐</w:t>
      </w:r>
      <w:r w:rsidRPr="00D33A1E">
        <w:rPr>
          <w:rFonts w:cs="Arial"/>
          <w:sz w:val="22"/>
          <w:szCs w:val="22"/>
        </w:rPr>
        <w:t xml:space="preserve"> Traditional leadership</w:t>
      </w:r>
      <w:r w:rsidRPr="00D33A1E">
        <w:rPr>
          <w:rFonts w:cs="Arial"/>
          <w:sz w:val="22"/>
          <w:szCs w:val="22"/>
        </w:rPr>
        <w:br/>
      </w:r>
      <w:r w:rsidRPr="00D33A1E">
        <w:rPr>
          <w:rFonts w:cs="Segoe UI Symbol"/>
          <w:sz w:val="22"/>
          <w:szCs w:val="22"/>
        </w:rPr>
        <w:t>☐</w:t>
      </w:r>
      <w:r w:rsidRPr="00D33A1E">
        <w:rPr>
          <w:rFonts w:cs="Arial"/>
          <w:sz w:val="22"/>
          <w:szCs w:val="22"/>
        </w:rPr>
        <w:t xml:space="preserve"> Other: _________________________________________________</w:t>
      </w:r>
    </w:p>
    <w:p w14:paraId="56305602" w14:textId="77777777" w:rsidR="00FF5F5D" w:rsidRPr="00D33A1E" w:rsidRDefault="00FF5F5D" w:rsidP="00B25FCE">
      <w:pPr>
        <w:ind w:firstLine="360"/>
        <w:jc w:val="both"/>
        <w:rPr>
          <w:rFonts w:cs="Arial"/>
          <w:sz w:val="22"/>
          <w:szCs w:val="22"/>
        </w:rPr>
      </w:pPr>
      <w:r w:rsidRPr="00D33A1E">
        <w:rPr>
          <w:rFonts w:cs="Arial"/>
          <w:b/>
          <w:bCs/>
          <w:sz w:val="22"/>
          <w:szCs w:val="22"/>
        </w:rPr>
        <w:t>Contact details:</w:t>
      </w:r>
    </w:p>
    <w:p w14:paraId="17606D09" w14:textId="77777777" w:rsidR="00FF5F5D" w:rsidRPr="00D33A1E" w:rsidRDefault="00FF5F5D" w:rsidP="00B25FCE">
      <w:pPr>
        <w:ind w:firstLine="360"/>
        <w:jc w:val="both"/>
        <w:rPr>
          <w:rFonts w:cs="Arial"/>
          <w:sz w:val="22"/>
          <w:szCs w:val="22"/>
        </w:rPr>
      </w:pPr>
      <w:r w:rsidRPr="00D33A1E">
        <w:rPr>
          <w:rFonts w:cs="Arial"/>
          <w:sz w:val="22"/>
          <w:szCs w:val="22"/>
        </w:rPr>
        <w:t>Telephone: __________________________________________________</w:t>
      </w:r>
    </w:p>
    <w:p w14:paraId="117A8C7A" w14:textId="77777777" w:rsidR="00B25FCE" w:rsidRPr="00D33A1E" w:rsidRDefault="00FF5F5D" w:rsidP="00B25FCE">
      <w:pPr>
        <w:ind w:firstLine="360"/>
        <w:jc w:val="both"/>
        <w:rPr>
          <w:rFonts w:cs="Arial"/>
          <w:sz w:val="22"/>
          <w:szCs w:val="22"/>
        </w:rPr>
      </w:pPr>
      <w:r w:rsidRPr="00D33A1E">
        <w:rPr>
          <w:rFonts w:cs="Arial"/>
          <w:sz w:val="22"/>
          <w:szCs w:val="22"/>
        </w:rPr>
        <w:t>Email: _____________________________________________________</w:t>
      </w:r>
    </w:p>
    <w:p w14:paraId="140461E0" w14:textId="77777777" w:rsidR="004A4321" w:rsidRDefault="004A4321" w:rsidP="00B25FCE">
      <w:pPr>
        <w:ind w:firstLine="360"/>
        <w:jc w:val="both"/>
        <w:rPr>
          <w:rFonts w:cs="Arial"/>
          <w:sz w:val="22"/>
          <w:szCs w:val="22"/>
        </w:rPr>
      </w:pPr>
    </w:p>
    <w:p w14:paraId="1B08E315" w14:textId="77777777" w:rsidR="00245E22" w:rsidRPr="00D33A1E" w:rsidRDefault="00245E22" w:rsidP="00B25FCE">
      <w:pPr>
        <w:ind w:firstLine="360"/>
        <w:jc w:val="both"/>
        <w:rPr>
          <w:rFonts w:cs="Arial"/>
          <w:sz w:val="22"/>
          <w:szCs w:val="22"/>
        </w:rPr>
      </w:pPr>
    </w:p>
    <w:p w14:paraId="3DD2E158" w14:textId="42D178C1" w:rsidR="00FF5F5D" w:rsidRPr="00D33A1E" w:rsidRDefault="00FF5F5D" w:rsidP="00B85027">
      <w:pPr>
        <w:pStyle w:val="ListParagraph"/>
        <w:numPr>
          <w:ilvl w:val="0"/>
          <w:numId w:val="5"/>
        </w:numPr>
        <w:jc w:val="both"/>
        <w:rPr>
          <w:rFonts w:cs="Arial"/>
          <w:sz w:val="22"/>
          <w:szCs w:val="22"/>
        </w:rPr>
      </w:pPr>
      <w:r w:rsidRPr="00D33A1E">
        <w:rPr>
          <w:rFonts w:cs="Arial"/>
          <w:b/>
          <w:bCs/>
          <w:sz w:val="22"/>
          <w:szCs w:val="22"/>
        </w:rPr>
        <w:lastRenderedPageBreak/>
        <w:t>COMMENTS ON DRAFT 1</w:t>
      </w:r>
      <w:r w:rsidR="0043267C" w:rsidRPr="00D33A1E">
        <w:rPr>
          <w:rFonts w:cs="Arial"/>
          <w:b/>
          <w:bCs/>
          <w:sz w:val="22"/>
          <w:szCs w:val="22"/>
        </w:rPr>
        <w:t>.1</w:t>
      </w:r>
    </w:p>
    <w:p w14:paraId="6C2513AB" w14:textId="6E6E53EB" w:rsidR="00FF5F5D" w:rsidRPr="00D33A1E" w:rsidRDefault="00B22AD7" w:rsidP="00B85027">
      <w:pPr>
        <w:ind w:left="360"/>
        <w:jc w:val="both"/>
        <w:rPr>
          <w:rFonts w:cs="Arial"/>
          <w:sz w:val="22"/>
          <w:szCs w:val="22"/>
        </w:rPr>
      </w:pPr>
      <w:r w:rsidRPr="00D33A1E">
        <w:rPr>
          <w:rFonts w:eastAsia="Times New Roman" w:cs="Arial"/>
          <w:kern w:val="0"/>
          <w14:ligatures w14:val="none"/>
        </w:rPr>
        <w:t xml:space="preserve">This section contains </w:t>
      </w:r>
      <w:r w:rsidR="00436DAE" w:rsidRPr="00D33A1E">
        <w:rPr>
          <w:rFonts w:eastAsia="Times New Roman" w:cs="Arial"/>
          <w:kern w:val="0"/>
          <w14:ligatures w14:val="none"/>
        </w:rPr>
        <w:t xml:space="preserve">a combination of </w:t>
      </w:r>
      <w:r w:rsidRPr="00D33A1E">
        <w:rPr>
          <w:rFonts w:eastAsia="Times New Roman" w:cs="Arial"/>
          <w:kern w:val="0"/>
          <w14:ligatures w14:val="none"/>
        </w:rPr>
        <w:t>the norms and standards regulations applicable to different categories of health establishments which were promulgated on 02 February 2018</w:t>
      </w:r>
      <w:r w:rsidR="008665FF" w:rsidRPr="00D33A1E">
        <w:rPr>
          <w:rFonts w:eastAsia="Times New Roman" w:cs="Arial"/>
          <w:kern w:val="0"/>
          <w14:ligatures w14:val="none"/>
        </w:rPr>
        <w:t>,</w:t>
      </w:r>
      <w:r w:rsidR="00EE72EE">
        <w:rPr>
          <w:rFonts w:eastAsia="Times New Roman" w:cs="Arial"/>
          <w:kern w:val="0"/>
          <w14:ligatures w14:val="none"/>
        </w:rPr>
        <w:t xml:space="preserve">as well as </w:t>
      </w:r>
      <w:r w:rsidR="00436DAE" w:rsidRPr="00D33A1E">
        <w:rPr>
          <w:rFonts w:eastAsia="Times New Roman" w:cs="Arial"/>
          <w:kern w:val="0"/>
          <w14:ligatures w14:val="none"/>
        </w:rPr>
        <w:t>the</w:t>
      </w:r>
      <w:r w:rsidR="009D6427" w:rsidRPr="00D33A1E">
        <w:rPr>
          <w:rFonts w:eastAsia="Times New Roman" w:cs="Arial"/>
          <w:kern w:val="0"/>
          <w14:ligatures w14:val="none"/>
        </w:rPr>
        <w:t xml:space="preserve"> review</w:t>
      </w:r>
      <w:r w:rsidR="00EE72EE">
        <w:rPr>
          <w:rFonts w:eastAsia="Times New Roman" w:cs="Arial"/>
          <w:kern w:val="0"/>
          <w14:ligatures w14:val="none"/>
        </w:rPr>
        <w:t>s</w:t>
      </w:r>
      <w:r w:rsidR="009D6427" w:rsidRPr="00D33A1E">
        <w:rPr>
          <w:rFonts w:eastAsia="Times New Roman" w:cs="Arial"/>
          <w:kern w:val="0"/>
          <w14:ligatures w14:val="none"/>
        </w:rPr>
        <w:t xml:space="preserve"> and additions that have been propo</w:t>
      </w:r>
      <w:r w:rsidR="005558C0" w:rsidRPr="00D33A1E">
        <w:rPr>
          <w:rFonts w:eastAsia="Times New Roman" w:cs="Arial"/>
          <w:kern w:val="0"/>
          <w14:ligatures w14:val="none"/>
        </w:rPr>
        <w:t>sed by the National Technical Working Group</w:t>
      </w:r>
      <w:r w:rsidR="006E792D">
        <w:rPr>
          <w:rFonts w:eastAsia="Times New Roman" w:cs="Arial"/>
          <w:kern w:val="0"/>
          <w14:ligatures w14:val="none"/>
        </w:rPr>
        <w:t>.</w:t>
      </w:r>
      <w:r w:rsidR="00F07316">
        <w:rPr>
          <w:rFonts w:eastAsia="Times New Roman" w:cs="Arial"/>
          <w:kern w:val="0"/>
          <w14:ligatures w14:val="none"/>
        </w:rPr>
        <w:t xml:space="preserve"> In column 1 is the draft 1.1 </w:t>
      </w:r>
      <w:r w:rsidR="006B735E">
        <w:rPr>
          <w:rFonts w:eastAsia="Times New Roman" w:cs="Arial"/>
          <w:kern w:val="0"/>
          <w14:ligatures w14:val="none"/>
        </w:rPr>
        <w:t>standards</w:t>
      </w:r>
      <w:r w:rsidR="00C56F22">
        <w:rPr>
          <w:rFonts w:eastAsia="Times New Roman" w:cs="Arial"/>
          <w:kern w:val="0"/>
          <w14:ligatures w14:val="none"/>
        </w:rPr>
        <w:t xml:space="preserve"> which must be reviewed,</w:t>
      </w:r>
      <w:r w:rsidR="006B735E">
        <w:rPr>
          <w:rFonts w:eastAsia="Times New Roman" w:cs="Arial"/>
          <w:kern w:val="0"/>
          <w14:ligatures w14:val="none"/>
        </w:rPr>
        <w:t xml:space="preserve"> </w:t>
      </w:r>
      <w:r w:rsidR="00C56F22">
        <w:rPr>
          <w:rFonts w:eastAsia="Times New Roman" w:cs="Arial"/>
          <w:kern w:val="0"/>
          <w14:ligatures w14:val="none"/>
        </w:rPr>
        <w:t>comments or input must be m</w:t>
      </w:r>
      <w:r w:rsidR="006B735E">
        <w:rPr>
          <w:rFonts w:eastAsia="Times New Roman" w:cs="Arial"/>
          <w:kern w:val="0"/>
          <w14:ligatures w14:val="none"/>
        </w:rPr>
        <w:t>ade in columns 2 and 3.</w:t>
      </w:r>
    </w:p>
    <w:tbl>
      <w:tblPr>
        <w:tblStyle w:val="TableGrid"/>
        <w:tblW w:w="14879" w:type="dxa"/>
        <w:tblLook w:val="04A0" w:firstRow="1" w:lastRow="0" w:firstColumn="1" w:lastColumn="0" w:noHBand="0" w:noVBand="1"/>
      </w:tblPr>
      <w:tblGrid>
        <w:gridCol w:w="5382"/>
        <w:gridCol w:w="4536"/>
        <w:gridCol w:w="4961"/>
      </w:tblGrid>
      <w:tr w:rsidR="000D04EF" w:rsidRPr="00D33A1E" w14:paraId="2D2A00EA" w14:textId="77777777" w:rsidTr="000D04EF">
        <w:trPr>
          <w:tblHeader/>
        </w:trPr>
        <w:tc>
          <w:tcPr>
            <w:tcW w:w="5382" w:type="dxa"/>
            <w:shd w:val="clear" w:color="auto" w:fill="BFBFBF"/>
          </w:tcPr>
          <w:p w14:paraId="4A5F126D" w14:textId="77777777" w:rsidR="000D04EF" w:rsidRPr="00D33A1E" w:rsidRDefault="000D04EF" w:rsidP="000D04EF">
            <w:pPr>
              <w:rPr>
                <w:rFonts w:eastAsia="Aptos" w:cs="Arial"/>
                <w:b/>
                <w:bCs/>
                <w:lang w:eastAsia="en-US"/>
              </w:rPr>
            </w:pPr>
            <w:r w:rsidRPr="00D33A1E">
              <w:rPr>
                <w:rFonts w:eastAsia="Aptos" w:cs="Arial"/>
                <w:b/>
                <w:bCs/>
                <w:lang w:eastAsia="en-US"/>
              </w:rPr>
              <w:t>Column 1</w:t>
            </w:r>
          </w:p>
        </w:tc>
        <w:tc>
          <w:tcPr>
            <w:tcW w:w="4536" w:type="dxa"/>
            <w:shd w:val="clear" w:color="auto" w:fill="BFBFBF"/>
          </w:tcPr>
          <w:p w14:paraId="3C52AAFA" w14:textId="77777777" w:rsidR="000D04EF" w:rsidRPr="00D33A1E" w:rsidRDefault="000D04EF" w:rsidP="000D04EF">
            <w:pPr>
              <w:rPr>
                <w:rFonts w:eastAsia="Aptos" w:cs="Arial"/>
                <w:b/>
                <w:bCs/>
                <w:lang w:eastAsia="en-US"/>
              </w:rPr>
            </w:pPr>
            <w:r w:rsidRPr="00D33A1E">
              <w:rPr>
                <w:rFonts w:eastAsia="Aptos" w:cs="Arial"/>
                <w:b/>
                <w:bCs/>
                <w:lang w:eastAsia="en-US"/>
              </w:rPr>
              <w:t>Column 2</w:t>
            </w:r>
          </w:p>
        </w:tc>
        <w:tc>
          <w:tcPr>
            <w:tcW w:w="4961" w:type="dxa"/>
            <w:shd w:val="clear" w:color="auto" w:fill="BFBFBF"/>
          </w:tcPr>
          <w:p w14:paraId="4A760852" w14:textId="77777777" w:rsidR="000D04EF" w:rsidRPr="00D33A1E" w:rsidRDefault="000D04EF" w:rsidP="000D04EF">
            <w:pPr>
              <w:rPr>
                <w:rFonts w:eastAsia="Aptos" w:cs="Arial"/>
                <w:b/>
                <w:bCs/>
                <w:lang w:eastAsia="en-US"/>
              </w:rPr>
            </w:pPr>
            <w:r w:rsidRPr="00D33A1E">
              <w:rPr>
                <w:rFonts w:eastAsia="Aptos" w:cs="Arial"/>
                <w:b/>
                <w:bCs/>
                <w:lang w:eastAsia="en-US"/>
              </w:rPr>
              <w:t>Column 3</w:t>
            </w:r>
          </w:p>
        </w:tc>
      </w:tr>
      <w:tr w:rsidR="000D04EF" w:rsidRPr="00D33A1E" w14:paraId="131D4660" w14:textId="77777777" w:rsidTr="000D04EF">
        <w:trPr>
          <w:tblHeader/>
        </w:trPr>
        <w:tc>
          <w:tcPr>
            <w:tcW w:w="5382" w:type="dxa"/>
            <w:shd w:val="clear" w:color="auto" w:fill="BFBFBF"/>
          </w:tcPr>
          <w:p w14:paraId="3F71E3A7" w14:textId="77777777" w:rsidR="000D04EF" w:rsidRPr="00D33A1E" w:rsidRDefault="000D04EF" w:rsidP="000D04EF">
            <w:pPr>
              <w:rPr>
                <w:rFonts w:eastAsia="Aptos" w:cs="Arial"/>
                <w:b/>
                <w:bCs/>
                <w:lang w:eastAsia="en-US"/>
              </w:rPr>
            </w:pPr>
            <w:r w:rsidRPr="00D33A1E">
              <w:rPr>
                <w:rFonts w:eastAsia="Aptos" w:cs="Arial"/>
                <w:b/>
                <w:bCs/>
                <w:lang w:eastAsia="en-US"/>
              </w:rPr>
              <w:t>Draft 1.1 Norms and Standards Regulations</w:t>
            </w:r>
          </w:p>
        </w:tc>
        <w:tc>
          <w:tcPr>
            <w:tcW w:w="4536" w:type="dxa"/>
            <w:shd w:val="clear" w:color="auto" w:fill="BFBFBF"/>
          </w:tcPr>
          <w:p w14:paraId="0F3764EC" w14:textId="77777777" w:rsidR="000D04EF" w:rsidRPr="00D33A1E" w:rsidRDefault="000D04EF" w:rsidP="000D04EF">
            <w:pPr>
              <w:rPr>
                <w:rFonts w:eastAsia="Aptos" w:cs="Arial"/>
                <w:b/>
                <w:bCs/>
                <w:lang w:eastAsia="en-US"/>
              </w:rPr>
            </w:pPr>
            <w:r w:rsidRPr="00D33A1E">
              <w:rPr>
                <w:rFonts w:eastAsia="Aptos" w:cs="Arial"/>
                <w:b/>
                <w:bCs/>
                <w:lang w:eastAsia="en-US"/>
              </w:rPr>
              <w:t>Comment / Issue Raised</w:t>
            </w:r>
          </w:p>
        </w:tc>
        <w:tc>
          <w:tcPr>
            <w:tcW w:w="4961" w:type="dxa"/>
            <w:shd w:val="clear" w:color="auto" w:fill="BFBFBF"/>
          </w:tcPr>
          <w:p w14:paraId="5B2770BF" w14:textId="77777777" w:rsidR="000D04EF" w:rsidRPr="00D33A1E" w:rsidRDefault="000D04EF" w:rsidP="000D04EF">
            <w:pPr>
              <w:rPr>
                <w:rFonts w:eastAsia="Aptos" w:cs="Arial"/>
                <w:b/>
                <w:bCs/>
                <w:lang w:eastAsia="en-US"/>
              </w:rPr>
            </w:pPr>
            <w:r w:rsidRPr="00D33A1E">
              <w:rPr>
                <w:rFonts w:eastAsia="Aptos" w:cs="Arial"/>
                <w:b/>
                <w:bCs/>
                <w:lang w:eastAsia="en-US"/>
              </w:rPr>
              <w:t>Proposed Change / Recommendation</w:t>
            </w:r>
          </w:p>
        </w:tc>
      </w:tr>
      <w:tr w:rsidR="00B8724D" w:rsidRPr="00D33A1E" w14:paraId="79AB258C" w14:textId="77777777" w:rsidTr="00326018">
        <w:tc>
          <w:tcPr>
            <w:tcW w:w="5382" w:type="dxa"/>
          </w:tcPr>
          <w:p w14:paraId="4EF71FAD" w14:textId="77777777" w:rsidR="003B67A8" w:rsidRPr="003B67A8" w:rsidRDefault="003B67A8" w:rsidP="003B67A8">
            <w:pPr>
              <w:spacing w:line="276" w:lineRule="auto"/>
              <w:rPr>
                <w:b/>
                <w:bCs/>
                <w:sz w:val="22"/>
                <w:szCs w:val="22"/>
                <w:lang w:val="en-ZA" w:eastAsia="en-US"/>
              </w:rPr>
            </w:pPr>
            <w:r w:rsidRPr="003B67A8">
              <w:rPr>
                <w:b/>
                <w:bCs/>
                <w:sz w:val="22"/>
                <w:szCs w:val="22"/>
                <w:lang w:val="en-ZA" w:eastAsia="en-US"/>
              </w:rPr>
              <w:t xml:space="preserve">CHAPTER 1: DEFINITIONS, SCOPE AND APPLICATION, PURPOSE </w:t>
            </w:r>
          </w:p>
          <w:p w14:paraId="79870DBB" w14:textId="77777777" w:rsidR="003B67A8" w:rsidRPr="003B67A8" w:rsidRDefault="003B67A8" w:rsidP="003B67A8">
            <w:pPr>
              <w:spacing w:line="276" w:lineRule="auto"/>
              <w:rPr>
                <w:b/>
                <w:bCs/>
                <w:sz w:val="22"/>
                <w:szCs w:val="22"/>
                <w:lang w:val="en-ZA" w:eastAsia="en-US"/>
              </w:rPr>
            </w:pPr>
            <w:r w:rsidRPr="003B67A8">
              <w:rPr>
                <w:b/>
                <w:bCs/>
                <w:sz w:val="22"/>
                <w:szCs w:val="22"/>
                <w:lang w:val="en-ZA" w:eastAsia="en-US"/>
              </w:rPr>
              <w:t>1. Definitions (will be added)</w:t>
            </w:r>
          </w:p>
          <w:p w14:paraId="602C6E28" w14:textId="77777777" w:rsidR="003B67A8" w:rsidRPr="003B67A8" w:rsidRDefault="003B67A8" w:rsidP="003B67A8">
            <w:pPr>
              <w:spacing w:line="276" w:lineRule="auto"/>
              <w:rPr>
                <w:b/>
                <w:bCs/>
                <w:sz w:val="22"/>
                <w:szCs w:val="22"/>
                <w:lang w:val="en-ZA" w:eastAsia="en-US"/>
              </w:rPr>
            </w:pPr>
            <w:r w:rsidRPr="003B67A8">
              <w:rPr>
                <w:b/>
                <w:bCs/>
                <w:sz w:val="22"/>
                <w:szCs w:val="22"/>
                <w:lang w:val="en-ZA" w:eastAsia="en-US"/>
              </w:rPr>
              <w:t>2. Scope and Application</w:t>
            </w:r>
          </w:p>
          <w:p w14:paraId="20667550" w14:textId="0395DA52" w:rsidR="003B67A8" w:rsidRPr="003B67A8" w:rsidRDefault="003B67A8" w:rsidP="003B67A8">
            <w:pPr>
              <w:spacing w:line="276" w:lineRule="auto"/>
              <w:rPr>
                <w:sz w:val="22"/>
                <w:szCs w:val="22"/>
                <w:lang w:val="en-ZA" w:eastAsia="en-US"/>
              </w:rPr>
            </w:pPr>
            <w:r w:rsidRPr="003B67A8">
              <w:rPr>
                <w:sz w:val="22"/>
                <w:szCs w:val="22"/>
                <w:lang w:val="en-ZA" w:eastAsia="en-US"/>
              </w:rPr>
              <w:t xml:space="preserve"> These Regulations apply to all health establishments to the extent indicated in</w:t>
            </w:r>
            <w:r w:rsidR="002C06EC">
              <w:rPr>
                <w:sz w:val="22"/>
                <w:szCs w:val="22"/>
                <w:lang w:val="en-ZA" w:eastAsia="en-US"/>
              </w:rPr>
              <w:t xml:space="preserve"> </w:t>
            </w:r>
            <w:r w:rsidRPr="003B67A8">
              <w:rPr>
                <w:sz w:val="22"/>
                <w:szCs w:val="22"/>
                <w:lang w:val="en-ZA" w:eastAsia="en-US"/>
              </w:rPr>
              <w:t>these Regulations and related inspection tools.</w:t>
            </w:r>
          </w:p>
          <w:p w14:paraId="00B282C7" w14:textId="77777777" w:rsidR="003B67A8" w:rsidRPr="003B67A8" w:rsidRDefault="003B67A8" w:rsidP="003B67A8">
            <w:pPr>
              <w:spacing w:line="276" w:lineRule="auto"/>
              <w:rPr>
                <w:b/>
                <w:bCs/>
                <w:sz w:val="22"/>
                <w:szCs w:val="22"/>
                <w:lang w:val="en-ZA" w:eastAsia="en-US"/>
              </w:rPr>
            </w:pPr>
            <w:r w:rsidRPr="003B67A8">
              <w:rPr>
                <w:b/>
                <w:bCs/>
                <w:sz w:val="22"/>
                <w:szCs w:val="22"/>
                <w:lang w:val="en-ZA" w:eastAsia="en-US"/>
              </w:rPr>
              <w:t>3. Purpose of Regulations</w:t>
            </w:r>
          </w:p>
          <w:p w14:paraId="5260D7AD" w14:textId="195B246C" w:rsidR="00B8724D" w:rsidRPr="00D33A1E" w:rsidRDefault="003B67A8" w:rsidP="002C06EC">
            <w:pPr>
              <w:spacing w:line="276" w:lineRule="auto"/>
              <w:rPr>
                <w:rFonts w:eastAsia="Aptos" w:cs="Times New Roman"/>
                <w:b/>
                <w:bCs/>
                <w:sz w:val="22"/>
                <w:szCs w:val="22"/>
                <w:lang w:val="en-ZA" w:eastAsia="en-US"/>
              </w:rPr>
            </w:pPr>
            <w:r w:rsidRPr="003B67A8">
              <w:rPr>
                <w:sz w:val="22"/>
                <w:szCs w:val="22"/>
                <w:lang w:val="en-ZA" w:eastAsia="en-US"/>
              </w:rPr>
              <w:t>The purpose of these Regulations is to promote, protect the health and safety of</w:t>
            </w:r>
            <w:r w:rsidR="002C06EC">
              <w:rPr>
                <w:sz w:val="22"/>
                <w:szCs w:val="22"/>
                <w:lang w:val="en-ZA" w:eastAsia="en-US"/>
              </w:rPr>
              <w:t xml:space="preserve"> </w:t>
            </w:r>
            <w:r w:rsidRPr="003B67A8">
              <w:rPr>
                <w:sz w:val="22"/>
                <w:szCs w:val="22"/>
                <w:lang w:val="en-ZA" w:eastAsia="en-US"/>
              </w:rPr>
              <w:t xml:space="preserve">users and health care personnel </w:t>
            </w:r>
            <w:r w:rsidRPr="003B67A8">
              <w:rPr>
                <w:color w:val="000000" w:themeColor="text1"/>
                <w:sz w:val="22"/>
                <w:szCs w:val="22"/>
                <w:lang w:val="en-ZA" w:eastAsia="en-US"/>
              </w:rPr>
              <w:t>and to monitor health outcomes.</w:t>
            </w:r>
          </w:p>
        </w:tc>
        <w:tc>
          <w:tcPr>
            <w:tcW w:w="4536" w:type="dxa"/>
          </w:tcPr>
          <w:p w14:paraId="683EED00" w14:textId="77777777" w:rsidR="00B8724D" w:rsidRPr="00D33A1E" w:rsidRDefault="00B8724D" w:rsidP="000D04EF">
            <w:pPr>
              <w:rPr>
                <w:rFonts w:eastAsia="Aptos" w:cs="Arial"/>
                <w:lang w:eastAsia="en-US"/>
              </w:rPr>
            </w:pPr>
          </w:p>
        </w:tc>
        <w:tc>
          <w:tcPr>
            <w:tcW w:w="4961" w:type="dxa"/>
          </w:tcPr>
          <w:p w14:paraId="5116FB15" w14:textId="77777777" w:rsidR="00B8724D" w:rsidRPr="00D33A1E" w:rsidRDefault="00B8724D" w:rsidP="000D04EF">
            <w:pPr>
              <w:rPr>
                <w:rFonts w:eastAsia="Aptos" w:cs="Arial"/>
                <w:lang w:eastAsia="en-US"/>
              </w:rPr>
            </w:pPr>
          </w:p>
        </w:tc>
      </w:tr>
      <w:tr w:rsidR="000D04EF" w:rsidRPr="00D33A1E" w14:paraId="3D608F97" w14:textId="77777777" w:rsidTr="00326018">
        <w:tc>
          <w:tcPr>
            <w:tcW w:w="5382" w:type="dxa"/>
          </w:tcPr>
          <w:p w14:paraId="6521956F" w14:textId="77777777" w:rsidR="000D04EF" w:rsidRPr="00D33A1E" w:rsidRDefault="000D04EF" w:rsidP="000D04EF">
            <w:pPr>
              <w:spacing w:line="360" w:lineRule="auto"/>
              <w:rPr>
                <w:rFonts w:eastAsia="Aptos" w:cs="Arial"/>
                <w:b/>
                <w:bCs/>
                <w:lang w:eastAsia="en-US"/>
              </w:rPr>
            </w:pPr>
            <w:r w:rsidRPr="00D33A1E">
              <w:rPr>
                <w:rFonts w:eastAsia="Aptos" w:cs="Times New Roman"/>
                <w:b/>
                <w:bCs/>
                <w:sz w:val="22"/>
                <w:szCs w:val="22"/>
                <w:lang w:val="en-ZA" w:eastAsia="en-US"/>
              </w:rPr>
              <w:t>CHAPTER 2: USER RIGHTS</w:t>
            </w:r>
          </w:p>
        </w:tc>
        <w:tc>
          <w:tcPr>
            <w:tcW w:w="4536" w:type="dxa"/>
          </w:tcPr>
          <w:p w14:paraId="546EA4E1" w14:textId="77777777" w:rsidR="000D04EF" w:rsidRPr="00D33A1E" w:rsidRDefault="000D04EF" w:rsidP="000D04EF">
            <w:pPr>
              <w:rPr>
                <w:rFonts w:eastAsia="Aptos" w:cs="Arial"/>
                <w:lang w:eastAsia="en-US"/>
              </w:rPr>
            </w:pPr>
          </w:p>
        </w:tc>
        <w:tc>
          <w:tcPr>
            <w:tcW w:w="4961" w:type="dxa"/>
          </w:tcPr>
          <w:p w14:paraId="33B8389C" w14:textId="77777777" w:rsidR="000D04EF" w:rsidRPr="00D33A1E" w:rsidRDefault="000D04EF" w:rsidP="000D04EF">
            <w:pPr>
              <w:rPr>
                <w:rFonts w:eastAsia="Aptos" w:cs="Arial"/>
                <w:lang w:eastAsia="en-US"/>
              </w:rPr>
            </w:pPr>
          </w:p>
        </w:tc>
      </w:tr>
      <w:tr w:rsidR="000D04EF" w:rsidRPr="00D33A1E" w14:paraId="29BB3AFE" w14:textId="77777777" w:rsidTr="00326018">
        <w:trPr>
          <w:trHeight w:val="1063"/>
        </w:trPr>
        <w:tc>
          <w:tcPr>
            <w:tcW w:w="5382" w:type="dxa"/>
          </w:tcPr>
          <w:p w14:paraId="3C71624E"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 xml:space="preserve">Regulation title: 4 Information for users </w:t>
            </w:r>
          </w:p>
          <w:p w14:paraId="64D52AFE" w14:textId="77777777" w:rsidR="000D04EF" w:rsidRPr="00D33A1E" w:rsidRDefault="000D04EF" w:rsidP="000D04EF">
            <w:pPr>
              <w:spacing w:line="276" w:lineRule="auto"/>
              <w:rPr>
                <w:rFonts w:eastAsia="Aptos" w:cs="Times New Roman"/>
                <w:sz w:val="22"/>
                <w:szCs w:val="22"/>
                <w:lang w:val="en-ZA" w:eastAsia="en-US"/>
              </w:rPr>
            </w:pPr>
            <w:bookmarkStart w:id="0" w:name="_Hlk222319444"/>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4 (1) The health establishment must provide users with information about the health care services available and information about accessing those services.</w:t>
            </w:r>
          </w:p>
          <w:p w14:paraId="60DF3840" w14:textId="77777777" w:rsidR="000D04EF" w:rsidRPr="00D33A1E" w:rsidRDefault="000D04EF" w:rsidP="000D04EF">
            <w:pPr>
              <w:spacing w:after="120" w:line="276" w:lineRule="auto"/>
              <w:rPr>
                <w:rFonts w:eastAsia="Aptos" w:cs="Times New Roman"/>
                <w:sz w:val="22"/>
                <w:szCs w:val="22"/>
                <w:lang w:val="en-ZA" w:eastAsia="en-US"/>
              </w:rPr>
            </w:pPr>
            <w:bookmarkStart w:id="1" w:name="_Hlk222319510"/>
            <w:bookmarkEnd w:id="0"/>
            <w:r w:rsidRPr="00D33A1E">
              <w:rPr>
                <w:rFonts w:eastAsia="Aptos" w:cs="Times New Roman"/>
                <w:b/>
                <w:bCs/>
                <w:sz w:val="22"/>
                <w:szCs w:val="22"/>
                <w:lang w:val="en-ZA" w:eastAsia="en-US"/>
              </w:rPr>
              <w:t>Sub-Regulation:</w:t>
            </w:r>
            <w:r w:rsidRPr="00D33A1E">
              <w:rPr>
                <w:rFonts w:eastAsia="Aptos" w:cs="Times New Roman"/>
                <w:sz w:val="22"/>
                <w:szCs w:val="22"/>
                <w:lang w:val="en-ZA" w:eastAsia="en-US"/>
              </w:rPr>
              <w:t xml:space="preserve"> (2) For the purposes of sub-regulation a (1), a health establishment must-</w:t>
            </w:r>
          </w:p>
          <w:bookmarkEnd w:id="1"/>
          <w:p w14:paraId="6E7DD141" w14:textId="77777777" w:rsidR="000D04EF" w:rsidRPr="00D33A1E" w:rsidRDefault="000D04EF" w:rsidP="000D04EF">
            <w:pPr>
              <w:spacing w:line="276" w:lineRule="auto"/>
              <w:rPr>
                <w:rFonts w:eastAsia="Segoe UI" w:cs="Segoe UI"/>
                <w:sz w:val="18"/>
                <w:szCs w:val="18"/>
                <w:lang w:val="en-ZA" w:eastAsia="en-US"/>
              </w:rPr>
            </w:pPr>
            <w:r w:rsidRPr="00D33A1E">
              <w:rPr>
                <w:rFonts w:eastAsia="Aptos" w:cs="Times New Roman"/>
                <w:sz w:val="22"/>
                <w:szCs w:val="22"/>
                <w:lang w:val="en-ZA" w:eastAsia="en-US"/>
              </w:rPr>
              <w:t>(a) provide users with information relating to-</w:t>
            </w:r>
            <w:r w:rsidRPr="00D33A1E">
              <w:rPr>
                <w:rFonts w:eastAsia="Segoe UI" w:cs="Segoe UI"/>
                <w:sz w:val="18"/>
                <w:szCs w:val="18"/>
                <w:lang w:val="en-ZA" w:eastAsia="en-US"/>
              </w:rPr>
              <w:t xml:space="preserve"> </w:t>
            </w:r>
          </w:p>
          <w:p w14:paraId="6BD19AE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 xml:space="preserve">(i) the health care services provided; </w:t>
            </w:r>
          </w:p>
          <w:p w14:paraId="6331811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 service operating times ;</w:t>
            </w:r>
          </w:p>
          <w:p w14:paraId="7D32271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(iii) visiting hours ; </w:t>
            </w:r>
          </w:p>
          <w:p w14:paraId="0812B876" w14:textId="77777777" w:rsidR="000D04EF" w:rsidRPr="00D33A1E" w:rsidRDefault="000D04EF" w:rsidP="000D04EF">
            <w:pPr>
              <w:spacing w:after="120" w:line="276" w:lineRule="auto"/>
              <w:rPr>
                <w:rFonts w:eastAsia="Aptos" w:cs="Times New Roman"/>
                <w:sz w:val="22"/>
                <w:szCs w:val="22"/>
                <w:lang w:val="en-ZA" w:eastAsia="en-US"/>
              </w:rPr>
            </w:pPr>
            <w:r w:rsidRPr="00D33A1E">
              <w:rPr>
                <w:rFonts w:eastAsia="Aptos" w:cs="Times New Roman"/>
                <w:sz w:val="22"/>
                <w:szCs w:val="22"/>
                <w:lang w:val="en-ZA" w:eastAsia="en-US"/>
              </w:rPr>
              <w:t>(iv) patients’ rights and responsibilities;</w:t>
            </w:r>
          </w:p>
          <w:p w14:paraId="513B3A5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provide users with information on any applicable fees for healthcare services, prior to commencement of the provision of healthcare services;</w:t>
            </w:r>
          </w:p>
          <w:p w14:paraId="683A13A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display the applicable operation licence or permit; compliance certificate from the </w:t>
            </w:r>
          </w:p>
          <w:p w14:paraId="171053F8" w14:textId="4DBC8162"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Office of Health Standards Compliance</w:t>
            </w:r>
            <w:r w:rsidRPr="00D33A1E">
              <w:rPr>
                <w:rFonts w:eastAsia="Aptos" w:cs="Aptos"/>
                <w:color w:val="008080"/>
                <w:sz w:val="22"/>
                <w:szCs w:val="22"/>
                <w:u w:val="single"/>
                <w:lang w:val="en-ZA" w:eastAsia="en-US"/>
              </w:rPr>
              <w:t xml:space="preserve"> </w:t>
            </w:r>
            <w:r w:rsidRPr="00D33A1E">
              <w:rPr>
                <w:rFonts w:eastAsia="Aptos" w:cs="Aptos"/>
                <w:color w:val="000000"/>
                <w:sz w:val="22"/>
                <w:szCs w:val="22"/>
                <w:lang w:val="en-ZA" w:eastAsia="en-US"/>
              </w:rPr>
              <w:t xml:space="preserve">and </w:t>
            </w:r>
            <w:r w:rsidRPr="00D33A1E">
              <w:rPr>
                <w:rFonts w:eastAsia="Aptos" w:cs="Times New Roman"/>
                <w:color w:val="000000"/>
                <w:sz w:val="22"/>
                <w:szCs w:val="22"/>
                <w:lang w:val="en-ZA" w:eastAsia="en-US"/>
              </w:rPr>
              <w:t xml:space="preserve"> </w:t>
            </w:r>
            <w:r w:rsidRPr="00D33A1E">
              <w:rPr>
                <w:rFonts w:eastAsia="Aptos" w:cs="Times New Roman"/>
                <w:sz w:val="22"/>
                <w:szCs w:val="22"/>
                <w:lang w:val="en-ZA" w:eastAsia="en-US"/>
              </w:rPr>
              <w:t>the accreditation status by the National Health insurance Fund;</w:t>
            </w:r>
            <w:r w:rsidR="00AA4E3E">
              <w:rPr>
                <w:rFonts w:eastAsia="Aptos" w:cs="Times New Roman"/>
                <w:sz w:val="22"/>
                <w:szCs w:val="22"/>
                <w:lang w:val="en-ZA" w:eastAsia="en-US"/>
              </w:rPr>
              <w:t xml:space="preserve"> and</w:t>
            </w:r>
          </w:p>
          <w:p w14:paraId="68721F51" w14:textId="77777777" w:rsidR="000D04EF" w:rsidRPr="00D33A1E" w:rsidRDefault="000D04EF" w:rsidP="000D04EF">
            <w:pPr>
              <w:spacing w:line="276" w:lineRule="auto"/>
              <w:rPr>
                <w:rFonts w:eastAsia="Aptos" w:cs="Arial"/>
                <w:lang w:eastAsia="en-US"/>
              </w:rPr>
            </w:pPr>
            <w:r w:rsidRPr="00D33A1E">
              <w:rPr>
                <w:rFonts w:eastAsia="Aptos" w:cs="Times New Roman"/>
                <w:sz w:val="22"/>
                <w:szCs w:val="22"/>
                <w:lang w:val="en-ZA" w:eastAsia="en-US"/>
              </w:rPr>
              <w:t>(d) provide users with information regarding the National Health Insurance Fund.</w:t>
            </w:r>
          </w:p>
        </w:tc>
        <w:tc>
          <w:tcPr>
            <w:tcW w:w="4536" w:type="dxa"/>
          </w:tcPr>
          <w:p w14:paraId="7D28588A" w14:textId="77777777" w:rsidR="000D04EF" w:rsidRPr="00D33A1E" w:rsidRDefault="000D04EF" w:rsidP="000D04EF">
            <w:pPr>
              <w:rPr>
                <w:rFonts w:eastAsia="Aptos" w:cs="Times New Roman"/>
                <w:lang w:eastAsia="en-US"/>
              </w:rPr>
            </w:pPr>
          </w:p>
        </w:tc>
        <w:tc>
          <w:tcPr>
            <w:tcW w:w="4961" w:type="dxa"/>
          </w:tcPr>
          <w:p w14:paraId="0FD9987A" w14:textId="77777777" w:rsidR="000D04EF" w:rsidRPr="00D33A1E" w:rsidRDefault="000D04EF" w:rsidP="000D04EF">
            <w:pPr>
              <w:rPr>
                <w:rFonts w:eastAsia="Aptos" w:cs="Times New Roman"/>
                <w:lang w:eastAsia="en-US"/>
              </w:rPr>
            </w:pPr>
          </w:p>
        </w:tc>
      </w:tr>
      <w:tr w:rsidR="000D04EF" w:rsidRPr="00D33A1E" w14:paraId="4DE91CFC" w14:textId="77777777" w:rsidTr="00326018">
        <w:trPr>
          <w:trHeight w:val="300"/>
        </w:trPr>
        <w:tc>
          <w:tcPr>
            <w:tcW w:w="5382" w:type="dxa"/>
          </w:tcPr>
          <w:p w14:paraId="0ED2DE5F"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 xml:space="preserve">Regulation title: 5 Dignity of users </w:t>
            </w:r>
          </w:p>
          <w:p w14:paraId="4AA9898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5(1). The health establishment must provide services in a manner that is respectful, dignified and protect the rights of users.</w:t>
            </w:r>
          </w:p>
          <w:p w14:paraId="650EB20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 (</w:t>
            </w:r>
            <w:r w:rsidRPr="00D33A1E">
              <w:rPr>
                <w:rFonts w:eastAsia="Aptos" w:cs="Times New Roman"/>
                <w:sz w:val="22"/>
                <w:szCs w:val="22"/>
                <w:lang w:val="en-ZA" w:eastAsia="en-US"/>
              </w:rPr>
              <w:t>2) For the purposes of sub-regulation (1), a health establishment must-</w:t>
            </w:r>
          </w:p>
          <w:p w14:paraId="7FD16FA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(a) have policies and practices that promote and respect user dignity, privacy, confidentiality, informed consent, and equitable access to care, aligned with applicable constitutional and legal provisions; </w:t>
            </w:r>
          </w:p>
          <w:p w14:paraId="20B5CFE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provide services in a manner that :</w:t>
            </w:r>
          </w:p>
          <w:p w14:paraId="79F4E62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(i) respects the dignity, rights, cultural values, and emotional needs of users and their families;</w:t>
            </w:r>
          </w:p>
          <w:p w14:paraId="432DF98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 supports informed choice through the provision of information and involvement in decision-making;</w:t>
            </w:r>
          </w:p>
          <w:p w14:paraId="55C9783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(iii) minimises the risk of harm to users;</w:t>
            </w:r>
          </w:p>
          <w:p w14:paraId="2D16CD1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respects the physical, visual, auditory and personal privacy of users; and</w:t>
            </w:r>
          </w:p>
          <w:p w14:paraId="5EC6109E"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(d) provide care in an environment that is safe, appropriate, and conducive to the health and physical needs of users.</w:t>
            </w:r>
          </w:p>
        </w:tc>
        <w:tc>
          <w:tcPr>
            <w:tcW w:w="4536" w:type="dxa"/>
          </w:tcPr>
          <w:p w14:paraId="6F785882" w14:textId="77777777" w:rsidR="000D04EF" w:rsidRPr="00D33A1E" w:rsidRDefault="000D04EF" w:rsidP="000D04EF">
            <w:pPr>
              <w:rPr>
                <w:rFonts w:eastAsia="Arial" w:cs="Arial"/>
                <w:b/>
                <w:bCs/>
                <w:lang w:eastAsia="en-US"/>
              </w:rPr>
            </w:pPr>
          </w:p>
        </w:tc>
        <w:tc>
          <w:tcPr>
            <w:tcW w:w="4961" w:type="dxa"/>
          </w:tcPr>
          <w:p w14:paraId="76E86EA1" w14:textId="77777777" w:rsidR="000D04EF" w:rsidRPr="00D33A1E" w:rsidRDefault="000D04EF" w:rsidP="000D04EF">
            <w:pPr>
              <w:rPr>
                <w:rFonts w:eastAsia="Aptos" w:cs="Times New Roman"/>
                <w:lang w:eastAsia="en-US"/>
              </w:rPr>
            </w:pPr>
          </w:p>
        </w:tc>
      </w:tr>
      <w:tr w:rsidR="000D04EF" w:rsidRPr="00D33A1E" w14:paraId="7B7E271E" w14:textId="77777777" w:rsidTr="00326018">
        <w:trPr>
          <w:trHeight w:val="300"/>
        </w:trPr>
        <w:tc>
          <w:tcPr>
            <w:tcW w:w="5382" w:type="dxa"/>
          </w:tcPr>
          <w:p w14:paraId="0309CB30"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6 Waiting times</w:t>
            </w:r>
          </w:p>
          <w:p w14:paraId="29C4A98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 6 (</w:t>
            </w:r>
            <w:r w:rsidRPr="00D33A1E">
              <w:rPr>
                <w:rFonts w:eastAsia="Aptos" w:cs="Times New Roman"/>
                <w:sz w:val="22"/>
                <w:szCs w:val="22"/>
                <w:lang w:val="en-ZA" w:eastAsia="en-US"/>
              </w:rPr>
              <w:t>1) The health establishment must reduce the delays experienced by users in accessing and receiving health care services.</w:t>
            </w:r>
          </w:p>
          <w:p w14:paraId="78A8AFF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w:t>
            </w:r>
            <w:r w:rsidRPr="00D33A1E">
              <w:rPr>
                <w:rFonts w:eastAsia="Aptos" w:cs="Times New Roman"/>
                <w:sz w:val="22"/>
                <w:szCs w:val="22"/>
                <w:lang w:val="en-ZA" w:eastAsia="en-US"/>
              </w:rPr>
              <w:t xml:space="preserve"> (2) For the purposes of sub-regulation (1), the health establishment must─</w:t>
            </w:r>
          </w:p>
          <w:p w14:paraId="7A741E6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establish systems to monitor waiting times against norms set by the relevant authority or targets set by the health establishment, as the case may be;</w:t>
            </w:r>
          </w:p>
          <w:p w14:paraId="53BF36C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(b) implement activities to reduce waiting times; </w:t>
            </w:r>
          </w:p>
          <w:p w14:paraId="69A43BCA" w14:textId="2D65108B"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inform the users about  the waiting times for services;</w:t>
            </w:r>
            <w:r w:rsidR="00E661BD">
              <w:rPr>
                <w:rFonts w:eastAsia="Aptos" w:cs="Times New Roman"/>
                <w:sz w:val="22"/>
                <w:szCs w:val="22"/>
                <w:lang w:val="en-ZA" w:eastAsia="en-US"/>
              </w:rPr>
              <w:t xml:space="preserve"> and</w:t>
            </w:r>
          </w:p>
          <w:p w14:paraId="5C969EA1"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(d) establish systems to monitor, report and manage Emergency Medical Services response time performance.</w:t>
            </w:r>
          </w:p>
        </w:tc>
        <w:tc>
          <w:tcPr>
            <w:tcW w:w="4536" w:type="dxa"/>
          </w:tcPr>
          <w:p w14:paraId="1950760F" w14:textId="77777777" w:rsidR="000D04EF" w:rsidRPr="00D33A1E" w:rsidRDefault="000D04EF" w:rsidP="000D04EF">
            <w:pPr>
              <w:rPr>
                <w:rFonts w:eastAsia="Arial" w:cs="Arial"/>
                <w:b/>
                <w:bCs/>
                <w:lang w:eastAsia="en-US"/>
              </w:rPr>
            </w:pPr>
          </w:p>
        </w:tc>
        <w:tc>
          <w:tcPr>
            <w:tcW w:w="4961" w:type="dxa"/>
          </w:tcPr>
          <w:p w14:paraId="3ECDE2AF" w14:textId="77777777" w:rsidR="000D04EF" w:rsidRPr="00D33A1E" w:rsidRDefault="000D04EF" w:rsidP="000D04EF">
            <w:pPr>
              <w:rPr>
                <w:rFonts w:eastAsia="Aptos" w:cs="Times New Roman"/>
                <w:lang w:eastAsia="en-US"/>
              </w:rPr>
            </w:pPr>
          </w:p>
        </w:tc>
      </w:tr>
      <w:tr w:rsidR="000D04EF" w:rsidRPr="00D33A1E" w14:paraId="03B0ADA1" w14:textId="77777777" w:rsidTr="00326018">
        <w:trPr>
          <w:trHeight w:val="300"/>
        </w:trPr>
        <w:tc>
          <w:tcPr>
            <w:tcW w:w="5382" w:type="dxa"/>
          </w:tcPr>
          <w:p w14:paraId="31AF980B"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w:t>
            </w:r>
            <w:r w:rsidRPr="00D33A1E">
              <w:rPr>
                <w:rFonts w:eastAsia="Aptos" w:cs="Times New Roman"/>
                <w:sz w:val="22"/>
                <w:szCs w:val="22"/>
                <w:lang w:val="en-ZA" w:eastAsia="en-US"/>
              </w:rPr>
              <w:t xml:space="preserve"> </w:t>
            </w:r>
            <w:r w:rsidRPr="00D33A1E">
              <w:rPr>
                <w:rFonts w:eastAsia="Aptos" w:cs="Times New Roman"/>
                <w:b/>
                <w:bCs/>
                <w:sz w:val="22"/>
                <w:szCs w:val="22"/>
                <w:lang w:val="en-ZA" w:eastAsia="en-US"/>
              </w:rPr>
              <w:t>7 Waiting period</w:t>
            </w:r>
          </w:p>
          <w:p w14:paraId="3868B86F" w14:textId="77777777" w:rsidR="000D04EF" w:rsidRPr="00D33A1E" w:rsidRDefault="000D04EF" w:rsidP="000D04EF">
            <w:pPr>
              <w:rPr>
                <w:rFonts w:eastAsia="Times New Roman" w:cs="Arial"/>
                <w:kern w:val="0"/>
                <w:sz w:val="22"/>
                <w:szCs w:val="22"/>
                <w14:ligatures w14:val="none"/>
              </w:rPr>
            </w:pPr>
            <w:r w:rsidRPr="00D33A1E">
              <w:rPr>
                <w:rFonts w:eastAsia="Times New Roman" w:cs="Times New Roman"/>
                <w:b/>
                <w:bCs/>
                <w:kern w:val="0"/>
                <w:sz w:val="22"/>
                <w:szCs w:val="22"/>
                <w14:ligatures w14:val="none"/>
              </w:rPr>
              <w:lastRenderedPageBreak/>
              <w:t xml:space="preserve">Regulation Statement: </w:t>
            </w:r>
            <w:r w:rsidRPr="00D33A1E">
              <w:rPr>
                <w:rFonts w:eastAsia="Times New Roman" w:cs="Times New Roman"/>
                <w:kern w:val="0"/>
                <w:sz w:val="22"/>
                <w:szCs w:val="22"/>
                <w14:ligatures w14:val="none"/>
              </w:rPr>
              <w:t>7 (1).</w:t>
            </w:r>
            <w:r w:rsidRPr="00D33A1E">
              <w:rPr>
                <w:rFonts w:eastAsia="Times New Roman" w:cs="Segoe UI"/>
                <w:kern w:val="0"/>
                <w:sz w:val="22"/>
                <w:szCs w:val="22"/>
                <w14:ligatures w14:val="none"/>
              </w:rPr>
              <w:t xml:space="preserve"> The health establishment must  provide users with access to healthcare services within defined timeframes, based on clinical urgency, service capacity, and the level of care provided. </w:t>
            </w:r>
          </w:p>
          <w:p w14:paraId="24785D62" w14:textId="77777777" w:rsidR="000D04EF" w:rsidRPr="00D33A1E" w:rsidRDefault="000D04EF" w:rsidP="000D04EF">
            <w:pPr>
              <w:rPr>
                <w:rFonts w:eastAsia="Times New Roman" w:cs="Times New Roman"/>
                <w:kern w:val="0"/>
                <w:sz w:val="22"/>
                <w:szCs w:val="22"/>
                <w14:ligatures w14:val="none"/>
              </w:rPr>
            </w:pPr>
            <w:r w:rsidRPr="00D33A1E">
              <w:rPr>
                <w:rFonts w:eastAsia="Times New Roman" w:cs="Times New Roman"/>
                <w:b/>
                <w:bCs/>
                <w:kern w:val="0"/>
                <w:sz w:val="22"/>
                <w:szCs w:val="22"/>
                <w14:ligatures w14:val="none"/>
              </w:rPr>
              <w:t>Sub-regulation statement: (</w:t>
            </w:r>
            <w:r w:rsidRPr="00D33A1E">
              <w:rPr>
                <w:rFonts w:eastAsia="Times New Roman" w:cs="Times New Roman"/>
                <w:kern w:val="0"/>
                <w:sz w:val="22"/>
                <w:szCs w:val="22"/>
                <w14:ligatures w14:val="none"/>
              </w:rPr>
              <w:t>2) For the purposes of sub-regulation (1), a health establishment  must-</w:t>
            </w:r>
          </w:p>
          <w:p w14:paraId="38A3310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determine and monitor waiting periods for services provided by the health establishment, as applicable to its level of care and scope of services;</w:t>
            </w:r>
          </w:p>
          <w:p w14:paraId="679C8466" w14:textId="3E83CAD2" w:rsidR="000D04EF" w:rsidRPr="00D33A1E" w:rsidRDefault="000D04EF" w:rsidP="000D04EF">
            <w:pPr>
              <w:spacing w:line="276" w:lineRule="auto"/>
              <w:rPr>
                <w:rFonts w:eastAsia="Aptos" w:cs="Times New Roman"/>
                <w:sz w:val="22"/>
                <w:szCs w:val="22"/>
                <w:lang w:val="en-ZA" w:eastAsia="en-US"/>
              </w:rPr>
            </w:pPr>
            <w:bookmarkStart w:id="2" w:name="_Hlk222320906"/>
            <w:r w:rsidRPr="00D33A1E">
              <w:rPr>
                <w:rFonts w:eastAsia="Aptos" w:cs="Times New Roman"/>
                <w:sz w:val="22"/>
                <w:szCs w:val="22"/>
                <w:lang w:val="en-ZA" w:eastAsia="en-US"/>
              </w:rPr>
              <w:t>(i) Outpatient Department consultations or Specialist referrals</w:t>
            </w:r>
            <w:r w:rsidR="00F427C4">
              <w:rPr>
                <w:rFonts w:eastAsia="Aptos" w:cs="Times New Roman"/>
                <w:sz w:val="22"/>
                <w:szCs w:val="22"/>
                <w:lang w:val="en-ZA" w:eastAsia="en-US"/>
              </w:rPr>
              <w:t>;</w:t>
            </w:r>
          </w:p>
          <w:p w14:paraId="7A90395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(ii) elective procedures; </w:t>
            </w:r>
          </w:p>
          <w:p w14:paraId="09F5656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(iii) admissions (including Forensic Observation in Specialised Psychiatric Hospitals);</w:t>
            </w:r>
          </w:p>
          <w:p w14:paraId="263EDD8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(iv) access to specialised or super-specialty services such as oncology, renal services;</w:t>
            </w:r>
          </w:p>
          <w:bookmarkEnd w:id="2"/>
          <w:p w14:paraId="54C57316" w14:textId="77777777" w:rsidR="000D04EF" w:rsidRPr="00D33A1E" w:rsidRDefault="000D04EF" w:rsidP="000D04EF">
            <w:pPr>
              <w:spacing w:line="276" w:lineRule="auto"/>
              <w:rPr>
                <w:rFonts w:eastAsia="Aptos" w:cs="Aptos"/>
                <w:color w:val="000000"/>
                <w:sz w:val="22"/>
                <w:szCs w:val="22"/>
                <w:lang w:val="en-ZA" w:eastAsia="en-US"/>
              </w:rPr>
            </w:pPr>
            <w:r w:rsidRPr="00D33A1E">
              <w:rPr>
                <w:rFonts w:eastAsia="Aptos" w:cs="Aptos"/>
                <w:sz w:val="22"/>
                <w:szCs w:val="22"/>
                <w:lang w:val="en-ZA" w:eastAsia="en-US"/>
              </w:rPr>
              <w:t xml:space="preserve">(v) monitor waiting periods </w:t>
            </w:r>
            <w:r w:rsidRPr="00D33A1E">
              <w:rPr>
                <w:rFonts w:eastAsia="Aptos" w:cs="Aptos"/>
                <w:color w:val="000000"/>
                <w:sz w:val="22"/>
                <w:szCs w:val="22"/>
                <w:lang w:val="en-ZA" w:eastAsia="en-US"/>
              </w:rPr>
              <w:t>for  accessing assistive devices;</w:t>
            </w:r>
          </w:p>
          <w:p w14:paraId="35DCF42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implement systems to  reduce the waiting periods for services.</w:t>
            </w:r>
          </w:p>
          <w:p w14:paraId="78902C60" w14:textId="77777777" w:rsidR="000D04EF" w:rsidRPr="00D33A1E" w:rsidRDefault="000D04EF" w:rsidP="000D04EF">
            <w:pPr>
              <w:rPr>
                <w:rFonts w:eastAsia="Aptos" w:cs="Arial"/>
                <w:b/>
                <w:bCs/>
                <w:lang w:eastAsia="en-US"/>
              </w:rPr>
            </w:pPr>
          </w:p>
        </w:tc>
        <w:tc>
          <w:tcPr>
            <w:tcW w:w="4536" w:type="dxa"/>
          </w:tcPr>
          <w:p w14:paraId="4E034A66" w14:textId="77777777" w:rsidR="000D04EF" w:rsidRPr="00D33A1E" w:rsidRDefault="000D04EF" w:rsidP="000D04EF">
            <w:pPr>
              <w:rPr>
                <w:rFonts w:eastAsia="Arial" w:cs="Arial"/>
                <w:b/>
                <w:bCs/>
                <w:lang w:eastAsia="en-US"/>
              </w:rPr>
            </w:pPr>
          </w:p>
        </w:tc>
        <w:tc>
          <w:tcPr>
            <w:tcW w:w="4961" w:type="dxa"/>
          </w:tcPr>
          <w:p w14:paraId="6F49F7B4" w14:textId="77777777" w:rsidR="000D04EF" w:rsidRPr="00D33A1E" w:rsidRDefault="000D04EF" w:rsidP="000D04EF">
            <w:pPr>
              <w:rPr>
                <w:rFonts w:eastAsia="Aptos" w:cs="Times New Roman"/>
                <w:lang w:eastAsia="en-US"/>
              </w:rPr>
            </w:pPr>
          </w:p>
        </w:tc>
      </w:tr>
      <w:tr w:rsidR="000D04EF" w:rsidRPr="00D33A1E" w14:paraId="73993DBD" w14:textId="77777777" w:rsidTr="00326018">
        <w:trPr>
          <w:trHeight w:val="300"/>
        </w:trPr>
        <w:tc>
          <w:tcPr>
            <w:tcW w:w="5382" w:type="dxa"/>
          </w:tcPr>
          <w:p w14:paraId="2C01A912"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 xml:space="preserve">Regulation title: 8 Access to care </w:t>
            </w:r>
          </w:p>
          <w:p w14:paraId="56BFD82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8 (1) The health establishment must have signage to facilitate user access and guide users to different areas within the health establishment.</w:t>
            </w:r>
          </w:p>
          <w:p w14:paraId="18D3337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lastRenderedPageBreak/>
              <w:t xml:space="preserve">Sub-Regulation: </w:t>
            </w:r>
            <w:r w:rsidRPr="00D33A1E">
              <w:rPr>
                <w:rFonts w:eastAsia="Aptos" w:cs="Times New Roman"/>
                <w:sz w:val="22"/>
                <w:szCs w:val="22"/>
                <w:lang w:val="en-ZA" w:eastAsia="en-US"/>
              </w:rPr>
              <w:t>(2) For the purposes of sub-regulation a (1), a health establishment must-</w:t>
            </w:r>
          </w:p>
          <w:p w14:paraId="796B49E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(a) have directional signage to guide users; and </w:t>
            </w:r>
          </w:p>
          <w:p w14:paraId="23FE262A" w14:textId="24FFF5C8"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provide information in a manner that is accessible  for users with hearing and visual impairments</w:t>
            </w:r>
            <w:r w:rsidR="00C6019E">
              <w:rPr>
                <w:rFonts w:eastAsia="Aptos" w:cs="Times New Roman"/>
                <w:sz w:val="22"/>
                <w:szCs w:val="22"/>
                <w:lang w:val="en-ZA" w:eastAsia="en-US"/>
              </w:rPr>
              <w:t>.</w:t>
            </w:r>
          </w:p>
          <w:p w14:paraId="680AE29C" w14:textId="77777777" w:rsidR="000D04EF" w:rsidRPr="00D33A1E" w:rsidRDefault="000D04EF" w:rsidP="000D04EF">
            <w:pPr>
              <w:rPr>
                <w:rFonts w:eastAsia="Times New Roman" w:cs="Times New Roman"/>
                <w:b/>
                <w:bCs/>
                <w:kern w:val="0"/>
                <w:sz w:val="22"/>
                <w:szCs w:val="22"/>
                <w14:ligatures w14:val="none"/>
              </w:rPr>
            </w:pPr>
          </w:p>
          <w:p w14:paraId="04A47436" w14:textId="77777777" w:rsidR="000D04EF" w:rsidRPr="00D33A1E" w:rsidRDefault="000D04EF" w:rsidP="000D04EF">
            <w:pPr>
              <w:rPr>
                <w:rFonts w:eastAsia="Times New Roman" w:cs="Arial"/>
                <w:kern w:val="0"/>
                <w:sz w:val="22"/>
                <w:szCs w:val="22"/>
                <w14:ligatures w14:val="none"/>
              </w:rPr>
            </w:pPr>
            <w:r w:rsidRPr="00D33A1E">
              <w:rPr>
                <w:rFonts w:eastAsia="Times New Roman" w:cs="Times New Roman"/>
                <w:b/>
                <w:bCs/>
                <w:kern w:val="0"/>
                <w:sz w:val="22"/>
                <w:szCs w:val="22"/>
                <w14:ligatures w14:val="none"/>
              </w:rPr>
              <w:t>Regulation Statement:</w:t>
            </w:r>
            <w:r w:rsidRPr="00D33A1E">
              <w:rPr>
                <w:rFonts w:eastAsia="Times New Roman" w:cs="Times New Roman"/>
                <w:kern w:val="0"/>
                <w:sz w:val="22"/>
                <w:szCs w:val="22"/>
                <w14:ligatures w14:val="none"/>
              </w:rPr>
              <w:t xml:space="preserve"> 8 (3). </w:t>
            </w:r>
            <w:r w:rsidRPr="00D33A1E">
              <w:rPr>
                <w:rFonts w:eastAsia="Times New Roman" w:cs="Segoe UI"/>
                <w:kern w:val="0"/>
                <w:sz w:val="22"/>
                <w:szCs w:val="22"/>
                <w14:ligatures w14:val="none"/>
              </w:rPr>
              <w:t>The health establishment must prioritise, assess, and attend to users in accordance with the nature, urgency, and severity of their health condition.</w:t>
            </w:r>
          </w:p>
          <w:p w14:paraId="340AE08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w:t>
            </w:r>
            <w:r w:rsidRPr="00D33A1E">
              <w:rPr>
                <w:rFonts w:eastAsia="Aptos" w:cs="Times New Roman"/>
                <w:sz w:val="22"/>
                <w:szCs w:val="22"/>
                <w:lang w:val="en-ZA" w:eastAsia="en-US"/>
              </w:rPr>
              <w:t xml:space="preserve"> (4) For the purposes of sub-regulation (3), a health establishment must as applicable to its level of care and scope of services-</w:t>
            </w:r>
          </w:p>
          <w:p w14:paraId="2055967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develop, implement and maintain a  system for triage  and prioritization of users based on clinical urgency;</w:t>
            </w:r>
          </w:p>
          <w:p w14:paraId="0E7ABFEF" w14:textId="77777777" w:rsidR="000D04EF" w:rsidRPr="00D33A1E" w:rsidRDefault="000D04EF" w:rsidP="000D04EF">
            <w:pPr>
              <w:spacing w:line="276" w:lineRule="auto"/>
              <w:rPr>
                <w:rFonts w:eastAsia="Segoe UI" w:cs="Segoe UI"/>
                <w:sz w:val="18"/>
                <w:szCs w:val="18"/>
                <w:lang w:val="en-ZA" w:eastAsia="en-US"/>
              </w:rPr>
            </w:pPr>
            <w:r w:rsidRPr="00D33A1E">
              <w:rPr>
                <w:rFonts w:eastAsia="Aptos" w:cs="Times New Roman"/>
                <w:sz w:val="22"/>
                <w:szCs w:val="22"/>
                <w:lang w:val="en-ZA" w:eastAsia="en-US"/>
              </w:rPr>
              <w:t>(b) ensure triage of users is conducted by a trained healthcare provider;</w:t>
            </w:r>
            <w:r w:rsidRPr="00D33A1E">
              <w:rPr>
                <w:rFonts w:eastAsia="Segoe UI" w:cs="Segoe UI"/>
                <w:sz w:val="18"/>
                <w:szCs w:val="18"/>
                <w:lang w:val="en-ZA" w:eastAsia="en-US"/>
              </w:rPr>
              <w:t xml:space="preserve"> </w:t>
            </w:r>
          </w:p>
          <w:p w14:paraId="1621DFB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stabilise users presenting in emergency within its capability before transferring user to another health establishment;</w:t>
            </w:r>
          </w:p>
          <w:p w14:paraId="2C90F3B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provide safe, timely and co-ordinated  inter-facility transfer of users requiring  transport; and</w:t>
            </w:r>
          </w:p>
          <w:p w14:paraId="4FE23A60"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 xml:space="preserve">(e) </w:t>
            </w:r>
            <w:r w:rsidRPr="00D33A1E">
              <w:rPr>
                <w:rFonts w:eastAsia="Aptos" w:cs="Segoe UI"/>
                <w:sz w:val="22"/>
                <w:szCs w:val="22"/>
                <w:lang w:val="en-ZA" w:eastAsia="en-US"/>
              </w:rPr>
              <w:t>where required, ensure that users in critical condition are accompanied by a trained health care provider during transfer.</w:t>
            </w:r>
          </w:p>
        </w:tc>
        <w:tc>
          <w:tcPr>
            <w:tcW w:w="4536" w:type="dxa"/>
          </w:tcPr>
          <w:p w14:paraId="34E643A0" w14:textId="77777777" w:rsidR="000D04EF" w:rsidRPr="00D33A1E" w:rsidRDefault="000D04EF" w:rsidP="000D04EF">
            <w:pPr>
              <w:rPr>
                <w:rFonts w:eastAsia="Arial" w:cs="Arial"/>
                <w:b/>
                <w:bCs/>
                <w:lang w:eastAsia="en-US"/>
              </w:rPr>
            </w:pPr>
          </w:p>
        </w:tc>
        <w:tc>
          <w:tcPr>
            <w:tcW w:w="4961" w:type="dxa"/>
          </w:tcPr>
          <w:p w14:paraId="00BD274C" w14:textId="77777777" w:rsidR="000D04EF" w:rsidRPr="00D33A1E" w:rsidRDefault="000D04EF" w:rsidP="000D04EF">
            <w:pPr>
              <w:rPr>
                <w:rFonts w:eastAsia="Aptos" w:cs="Times New Roman"/>
                <w:lang w:eastAsia="en-US"/>
              </w:rPr>
            </w:pPr>
          </w:p>
        </w:tc>
      </w:tr>
      <w:tr w:rsidR="000D04EF" w:rsidRPr="00D33A1E" w14:paraId="6F024ED6" w14:textId="77777777" w:rsidTr="00326018">
        <w:trPr>
          <w:trHeight w:val="300"/>
        </w:trPr>
        <w:tc>
          <w:tcPr>
            <w:tcW w:w="5382" w:type="dxa"/>
          </w:tcPr>
          <w:p w14:paraId="58E25F2A"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lastRenderedPageBreak/>
              <w:t>Regulation Title: 9 Integrated Care Pathways and Referrals</w:t>
            </w:r>
          </w:p>
          <w:p w14:paraId="7F69BC0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9 </w:t>
            </w:r>
            <w:r w:rsidRPr="00D33A1E">
              <w:rPr>
                <w:rFonts w:eastAsia="Aptos" w:cs="Times New Roman"/>
                <w:sz w:val="22"/>
                <w:szCs w:val="22"/>
                <w:lang w:val="en-ZA" w:eastAsia="en-US"/>
              </w:rPr>
              <w:t>(1 ).The health establishment must maintain co-ordinated, integrated care through referral and transfer pathways and collaboration with other levels and providers of care.</w:t>
            </w:r>
          </w:p>
          <w:p w14:paraId="165F365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a health establishment must as applicable to its level of care and scope of services-</w:t>
            </w:r>
          </w:p>
          <w:p w14:paraId="5DB5046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(a) develop and maintain referral pathways aligned with national, provincial policies and the local healthcare context; </w:t>
            </w:r>
          </w:p>
          <w:p w14:paraId="0477620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define and communicate the referral criteria to relevant healthcare providers;</w:t>
            </w:r>
          </w:p>
          <w:p w14:paraId="72F8624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keep and maintain a referral register;</w:t>
            </w:r>
          </w:p>
          <w:p w14:paraId="3DDE754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keep a copy of the referral document;</w:t>
            </w:r>
          </w:p>
          <w:p w14:paraId="1A456BC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provide feedback to the referring health establishment; and</w:t>
            </w:r>
          </w:p>
          <w:p w14:paraId="74445C0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(f) periodically review referral processes to support continuity of care or monitor the implementation of the referral system.</w:t>
            </w:r>
          </w:p>
          <w:p w14:paraId="7D8A5A5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9 (3). The health establishment must support and co-ordinate care for  vulnerable users  and users with chronic conditions.</w:t>
            </w:r>
          </w:p>
          <w:p w14:paraId="3FB9B76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Sub-Regulation statements: </w:t>
            </w:r>
            <w:r w:rsidRPr="00D33A1E">
              <w:rPr>
                <w:rFonts w:eastAsia="Aptos" w:cs="Times New Roman"/>
                <w:sz w:val="22"/>
                <w:szCs w:val="22"/>
                <w:lang w:val="en-ZA" w:eastAsia="en-US"/>
              </w:rPr>
              <w:t>(4) For the purposes of sub-regulation (3), a health establishment must as applicable to its level of care-</w:t>
            </w:r>
          </w:p>
          <w:p w14:paraId="52BE53AB" w14:textId="2FFB8CCC"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(a) identify users with complex chronic conditions, disabilities or social vulnerabilities who may require additional support;</w:t>
            </w:r>
            <w:r w:rsidR="009B7380">
              <w:rPr>
                <w:rFonts w:eastAsia="Aptos" w:cs="Times New Roman"/>
                <w:sz w:val="22"/>
                <w:szCs w:val="22"/>
                <w:lang w:val="en-ZA" w:eastAsia="en-US"/>
              </w:rPr>
              <w:t xml:space="preserve"> and</w:t>
            </w:r>
          </w:p>
          <w:p w14:paraId="6A9CB21E"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(b) have a systems in place to support the users with complex chronic care.</w:t>
            </w:r>
          </w:p>
        </w:tc>
        <w:tc>
          <w:tcPr>
            <w:tcW w:w="4536" w:type="dxa"/>
          </w:tcPr>
          <w:p w14:paraId="186A116D" w14:textId="77777777" w:rsidR="000D04EF" w:rsidRPr="00D33A1E" w:rsidRDefault="000D04EF" w:rsidP="000D04EF">
            <w:pPr>
              <w:rPr>
                <w:rFonts w:eastAsia="Arial" w:cs="Arial"/>
                <w:b/>
                <w:bCs/>
                <w:lang w:eastAsia="en-US"/>
              </w:rPr>
            </w:pPr>
          </w:p>
        </w:tc>
        <w:tc>
          <w:tcPr>
            <w:tcW w:w="4961" w:type="dxa"/>
          </w:tcPr>
          <w:p w14:paraId="382B44FC" w14:textId="77777777" w:rsidR="000D04EF" w:rsidRPr="00D33A1E" w:rsidRDefault="000D04EF" w:rsidP="000D04EF">
            <w:pPr>
              <w:rPr>
                <w:rFonts w:eastAsia="Aptos" w:cs="Times New Roman"/>
                <w:lang w:eastAsia="en-US"/>
              </w:rPr>
            </w:pPr>
          </w:p>
        </w:tc>
      </w:tr>
      <w:tr w:rsidR="000D04EF" w:rsidRPr="00D33A1E" w14:paraId="4D0928B4" w14:textId="77777777" w:rsidTr="00326018">
        <w:tc>
          <w:tcPr>
            <w:tcW w:w="5382" w:type="dxa"/>
          </w:tcPr>
          <w:p w14:paraId="1C008043" w14:textId="77777777" w:rsidR="000D04EF" w:rsidRPr="00D33A1E" w:rsidRDefault="000D04EF" w:rsidP="000D04EF">
            <w:pPr>
              <w:spacing w:line="360" w:lineRule="auto"/>
              <w:rPr>
                <w:rFonts w:eastAsia="Aptos" w:cs="Arial"/>
                <w:b/>
                <w:bCs/>
                <w:lang w:eastAsia="en-US"/>
              </w:rPr>
            </w:pPr>
            <w:r w:rsidRPr="00D33A1E">
              <w:rPr>
                <w:rFonts w:eastAsia="Aptos" w:cs="Times New Roman"/>
                <w:b/>
                <w:bCs/>
                <w:sz w:val="22"/>
                <w:szCs w:val="22"/>
                <w:lang w:val="en-ZA" w:eastAsia="en-US"/>
              </w:rPr>
              <w:t>CHAPTER 3: CLINICAL GOVERNANCE AND CLINICAL CARE</w:t>
            </w:r>
          </w:p>
        </w:tc>
        <w:tc>
          <w:tcPr>
            <w:tcW w:w="4536" w:type="dxa"/>
          </w:tcPr>
          <w:p w14:paraId="5A45580A" w14:textId="77777777" w:rsidR="000D04EF" w:rsidRPr="00D33A1E" w:rsidRDefault="000D04EF" w:rsidP="000D04EF">
            <w:pPr>
              <w:rPr>
                <w:rFonts w:eastAsia="Aptos" w:cs="Arial"/>
                <w:lang w:eastAsia="en-US"/>
              </w:rPr>
            </w:pPr>
          </w:p>
        </w:tc>
        <w:tc>
          <w:tcPr>
            <w:tcW w:w="4961" w:type="dxa"/>
          </w:tcPr>
          <w:p w14:paraId="314F5F56" w14:textId="77777777" w:rsidR="000D04EF" w:rsidRPr="00D33A1E" w:rsidRDefault="000D04EF" w:rsidP="000D04EF">
            <w:pPr>
              <w:rPr>
                <w:rFonts w:eastAsia="Aptos" w:cs="Arial"/>
                <w:lang w:eastAsia="en-US"/>
              </w:rPr>
            </w:pPr>
          </w:p>
        </w:tc>
      </w:tr>
      <w:tr w:rsidR="000D04EF" w:rsidRPr="00D33A1E" w14:paraId="36E21FB7" w14:textId="77777777" w:rsidTr="00326018">
        <w:tc>
          <w:tcPr>
            <w:tcW w:w="5382" w:type="dxa"/>
          </w:tcPr>
          <w:p w14:paraId="736B5FA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Arial"/>
                <w:b/>
                <w:bCs/>
                <w:lang w:eastAsia="en-US"/>
              </w:rPr>
              <w:t xml:space="preserve"> </w:t>
            </w:r>
            <w:r w:rsidRPr="00D33A1E">
              <w:rPr>
                <w:rFonts w:eastAsia="Aptos" w:cs="Times New Roman"/>
                <w:b/>
                <w:bCs/>
                <w:sz w:val="22"/>
                <w:szCs w:val="22"/>
                <w:lang w:val="en-ZA" w:eastAsia="en-US"/>
              </w:rPr>
              <w:t>Regulation title: 10</w:t>
            </w:r>
            <w:r w:rsidRPr="00D33A1E">
              <w:rPr>
                <w:rFonts w:eastAsia="Aptos" w:cs="Times New Roman"/>
                <w:sz w:val="22"/>
                <w:szCs w:val="22"/>
                <w:lang w:val="en-ZA" w:eastAsia="en-US"/>
              </w:rPr>
              <w:t xml:space="preserve"> User Health Records Management </w:t>
            </w:r>
          </w:p>
          <w:p w14:paraId="7941507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10 (1) The health establishment must protect, manage and keep confidential health records of health care users in line with section 14, 15 and 17 of the National Health Act.</w:t>
            </w:r>
          </w:p>
          <w:p w14:paraId="59B924D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the health establishment, must- </w:t>
            </w:r>
          </w:p>
          <w:p w14:paraId="2EC677A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implement a system for health record creation, filing, retrieval, tracking, storage, archiving and disposal which complies with the applicable law, policies and procedures;</w:t>
            </w:r>
          </w:p>
          <w:p w14:paraId="0EE9736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(b) ensure confidentiality of health records in terms of applicable legislation; </w:t>
            </w:r>
          </w:p>
          <w:p w14:paraId="2CFCE43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ensure no person discloses confidential information, unless; </w:t>
            </w:r>
          </w:p>
          <w:p w14:paraId="7CCB51B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(i) the user or legal guardian or power of attorney agent (POA)  consents to that disclosure in writing; </w:t>
            </w:r>
          </w:p>
          <w:p w14:paraId="1F09D2F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(ii) a court order or any law requires that disclosure; or </w:t>
            </w:r>
          </w:p>
          <w:p w14:paraId="56EFE5B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(iii) non-disclosure of the information represents a serious threat to public health;</w:t>
            </w:r>
          </w:p>
          <w:p w14:paraId="4C4D557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secure health records with security control measures in accordance with the Protection of Personal Information Act. 2013 (Act No. 4 of 2013); and other applicable data protection legislation; and</w:t>
            </w:r>
          </w:p>
          <w:p w14:paraId="4DD53702" w14:textId="77777777" w:rsidR="000D04EF" w:rsidRPr="00D33A1E" w:rsidRDefault="000D04EF" w:rsidP="000D04EF">
            <w:pPr>
              <w:spacing w:line="276" w:lineRule="auto"/>
              <w:rPr>
                <w:rFonts w:eastAsia="Aptos" w:cs="Arial"/>
                <w:lang w:eastAsia="en-US"/>
              </w:rPr>
            </w:pPr>
            <w:r w:rsidRPr="00D33A1E">
              <w:rPr>
                <w:rFonts w:eastAsia="Aptos" w:cs="Times New Roman"/>
                <w:sz w:val="22"/>
                <w:szCs w:val="22"/>
                <w:lang w:val="en-ZA" w:eastAsia="en-US"/>
              </w:rPr>
              <w:t>(e) have documented systems to facilitate user access to  health records.</w:t>
            </w:r>
          </w:p>
        </w:tc>
        <w:tc>
          <w:tcPr>
            <w:tcW w:w="4536" w:type="dxa"/>
          </w:tcPr>
          <w:p w14:paraId="07AC3414" w14:textId="77777777" w:rsidR="000D04EF" w:rsidRPr="00D33A1E" w:rsidRDefault="000D04EF" w:rsidP="000D04EF">
            <w:pPr>
              <w:rPr>
                <w:rFonts w:eastAsia="Aptos" w:cs="Arial"/>
                <w:lang w:eastAsia="en-US"/>
              </w:rPr>
            </w:pPr>
          </w:p>
        </w:tc>
        <w:tc>
          <w:tcPr>
            <w:tcW w:w="4961" w:type="dxa"/>
          </w:tcPr>
          <w:p w14:paraId="74568967" w14:textId="77777777" w:rsidR="000D04EF" w:rsidRPr="00D33A1E" w:rsidRDefault="000D04EF" w:rsidP="000D04EF">
            <w:pPr>
              <w:rPr>
                <w:rFonts w:eastAsia="Aptos" w:cs="Arial"/>
                <w:lang w:eastAsia="en-US"/>
              </w:rPr>
            </w:pPr>
          </w:p>
        </w:tc>
      </w:tr>
      <w:tr w:rsidR="000D04EF" w:rsidRPr="00D33A1E" w14:paraId="4DBC92D3" w14:textId="77777777" w:rsidTr="00326018">
        <w:tc>
          <w:tcPr>
            <w:tcW w:w="5382" w:type="dxa"/>
          </w:tcPr>
          <w:p w14:paraId="1BE78D8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10 (3) The health establishment must create and maintain a health record for each user under their care in accordance with the requirements of section 13 of the National Health Act and professional standards.</w:t>
            </w:r>
          </w:p>
          <w:p w14:paraId="1D2CD93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(4) For the purposes of sub-regulation (3), a health establishment must-</w:t>
            </w:r>
          </w:p>
          <w:p w14:paraId="5C96122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record the biographical data of the user and  contact information of the user and next of kin;</w:t>
            </w:r>
          </w:p>
          <w:p w14:paraId="0442859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(b) ensure that </w:t>
            </w:r>
            <w:bookmarkStart w:id="3" w:name="_Hlk223526555"/>
            <w:r w:rsidRPr="00D33A1E">
              <w:rPr>
                <w:rFonts w:eastAsia="Aptos" w:cs="Times New Roman"/>
                <w:sz w:val="22"/>
                <w:szCs w:val="22"/>
                <w:lang w:val="en-ZA" w:eastAsia="en-US"/>
              </w:rPr>
              <w:t xml:space="preserve">health care providers </w:t>
            </w:r>
            <w:bookmarkEnd w:id="3"/>
            <w:r w:rsidRPr="00D33A1E">
              <w:rPr>
                <w:rFonts w:eastAsia="Aptos" w:cs="Times New Roman"/>
                <w:sz w:val="22"/>
                <w:szCs w:val="22"/>
                <w:lang w:val="en-ZA" w:eastAsia="en-US"/>
              </w:rPr>
              <w:t>record information relating to the history, examination, investigation, ,diagnosis and health care interventions of users; and</w:t>
            </w:r>
          </w:p>
          <w:p w14:paraId="070A8550"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(c) ensure that entries in the health record are dated, timed, clear and attributable to the healthcare provider making the entry.</w:t>
            </w:r>
          </w:p>
        </w:tc>
        <w:tc>
          <w:tcPr>
            <w:tcW w:w="4536" w:type="dxa"/>
          </w:tcPr>
          <w:p w14:paraId="39A8F0AE" w14:textId="77777777" w:rsidR="000D04EF" w:rsidRPr="00D33A1E" w:rsidRDefault="000D04EF" w:rsidP="000D04EF">
            <w:pPr>
              <w:rPr>
                <w:rFonts w:eastAsia="Aptos" w:cs="Arial"/>
                <w:lang w:eastAsia="en-US"/>
              </w:rPr>
            </w:pPr>
          </w:p>
        </w:tc>
        <w:tc>
          <w:tcPr>
            <w:tcW w:w="4961" w:type="dxa"/>
          </w:tcPr>
          <w:p w14:paraId="212619E8" w14:textId="77777777" w:rsidR="000D04EF" w:rsidRPr="00D33A1E" w:rsidRDefault="000D04EF" w:rsidP="000D04EF">
            <w:pPr>
              <w:rPr>
                <w:rFonts w:eastAsia="Aptos" w:cs="Arial"/>
                <w:lang w:eastAsia="en-US"/>
              </w:rPr>
            </w:pPr>
          </w:p>
        </w:tc>
      </w:tr>
      <w:tr w:rsidR="000D04EF" w:rsidRPr="00D33A1E" w14:paraId="3F23F1E9" w14:textId="77777777" w:rsidTr="00326018">
        <w:tc>
          <w:tcPr>
            <w:tcW w:w="5382" w:type="dxa"/>
          </w:tcPr>
          <w:p w14:paraId="565995A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10 (5) The health establishment must have systems to manage instructions for the notification, registration of deaths </w:t>
            </w:r>
            <w:r w:rsidRPr="00D33A1E">
              <w:rPr>
                <w:rFonts w:eastAsia="Aptos" w:cs="Times New Roman"/>
                <w:sz w:val="22"/>
                <w:szCs w:val="22"/>
                <w:lang w:val="en-ZA" w:eastAsia="en-US"/>
              </w:rPr>
              <w:lastRenderedPageBreak/>
              <w:t>and still births  is in line with the  Births and Deaths Registration Act  51 of 1992 (as amended).</w:t>
            </w:r>
          </w:p>
          <w:p w14:paraId="45CFCC5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 (</w:t>
            </w:r>
            <w:r w:rsidRPr="00D33A1E">
              <w:rPr>
                <w:rFonts w:eastAsia="Aptos" w:cs="Times New Roman"/>
                <w:sz w:val="22"/>
                <w:szCs w:val="22"/>
                <w:lang w:val="en-ZA" w:eastAsia="en-US"/>
              </w:rPr>
              <w:t>6) For the purposes of sub-regulation (5), a health establishment must-</w:t>
            </w:r>
          </w:p>
          <w:p w14:paraId="4FDEEBD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a documented process for completion of  natural death; unnatural death  and still birth notification/registration;</w:t>
            </w:r>
          </w:p>
          <w:p w14:paraId="36096BF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complete the applicable Department of Home Affairs death notification, registration forms within the applicable timeframes;</w:t>
            </w:r>
          </w:p>
          <w:p w14:paraId="227FE80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have mechanisms to manage, monitor and control issuing of death notification, registration documents to family and or relatives or other relevant stakeholders; and</w:t>
            </w:r>
          </w:p>
          <w:p w14:paraId="1FF533B4"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(d) conduct training for persons responsible for completing notification, registration of death documents.</w:t>
            </w:r>
          </w:p>
        </w:tc>
        <w:tc>
          <w:tcPr>
            <w:tcW w:w="4536" w:type="dxa"/>
          </w:tcPr>
          <w:p w14:paraId="1CCD4E18" w14:textId="77777777" w:rsidR="000D04EF" w:rsidRPr="00D33A1E" w:rsidRDefault="000D04EF" w:rsidP="000D04EF">
            <w:pPr>
              <w:rPr>
                <w:rFonts w:eastAsia="Aptos" w:cs="Arial"/>
                <w:lang w:eastAsia="en-US"/>
              </w:rPr>
            </w:pPr>
          </w:p>
        </w:tc>
        <w:tc>
          <w:tcPr>
            <w:tcW w:w="4961" w:type="dxa"/>
          </w:tcPr>
          <w:p w14:paraId="0B39B00F" w14:textId="77777777" w:rsidR="000D04EF" w:rsidRPr="00D33A1E" w:rsidRDefault="000D04EF" w:rsidP="000D04EF">
            <w:pPr>
              <w:rPr>
                <w:rFonts w:eastAsia="Aptos" w:cs="Arial"/>
                <w:lang w:eastAsia="en-US"/>
              </w:rPr>
            </w:pPr>
          </w:p>
        </w:tc>
      </w:tr>
      <w:tr w:rsidR="000D04EF" w:rsidRPr="00D33A1E" w14:paraId="4F36EE0F" w14:textId="77777777" w:rsidTr="00326018">
        <w:tc>
          <w:tcPr>
            <w:tcW w:w="5382" w:type="dxa"/>
          </w:tcPr>
          <w:p w14:paraId="610455E7"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11 Clinical Care Process and Management</w:t>
            </w:r>
          </w:p>
          <w:p w14:paraId="7E606C1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11 (1) The health establishment must  implement and sustain clinical management systems, structures, and procedures that operationalise national health policies and guidelines to improve the quality, safety, and effectiveness of clinical care. </w:t>
            </w:r>
          </w:p>
          <w:p w14:paraId="541F7AC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(2) For the purpose of sub-regulation (1) a health establishment must-</w:t>
            </w:r>
          </w:p>
          <w:p w14:paraId="56B62EF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(a) have national department of health clinical guidelines and /or current evidence-based clinical guidelines;</w:t>
            </w:r>
          </w:p>
          <w:p w14:paraId="26355BB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develop protocols for clinical management of users (treatment plans, referrals, transfers);</w:t>
            </w:r>
          </w:p>
          <w:p w14:paraId="680BE04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have a system to communicate clinical guidelines to health care personnel;</w:t>
            </w:r>
          </w:p>
          <w:p w14:paraId="2AA8067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conduct clinical record audit; and</w:t>
            </w:r>
          </w:p>
          <w:p w14:paraId="0B0CFB0B" w14:textId="77777777" w:rsidR="000D04EF" w:rsidRPr="00D33A1E" w:rsidRDefault="000D04EF" w:rsidP="000D04EF">
            <w:pPr>
              <w:spacing w:line="276" w:lineRule="auto"/>
              <w:rPr>
                <w:rFonts w:eastAsia="Aptos" w:cs="Arial"/>
                <w:b/>
                <w:bCs/>
                <w:lang w:eastAsia="en-US"/>
              </w:rPr>
            </w:pPr>
            <w:r w:rsidRPr="00D33A1E">
              <w:rPr>
                <w:rFonts w:eastAsia="Aptos" w:cs="Times New Roman"/>
                <w:color w:val="000000"/>
                <w:sz w:val="22"/>
                <w:szCs w:val="22"/>
                <w:lang w:val="en-ZA" w:eastAsia="en-US"/>
              </w:rPr>
              <w:t>(e) have mechanisms and  systems in place for users to communicate with healthcare personnel where urgent care/assistance is required.</w:t>
            </w:r>
          </w:p>
        </w:tc>
        <w:tc>
          <w:tcPr>
            <w:tcW w:w="4536" w:type="dxa"/>
          </w:tcPr>
          <w:p w14:paraId="0C07997C" w14:textId="77777777" w:rsidR="000D04EF" w:rsidRPr="00D33A1E" w:rsidRDefault="000D04EF" w:rsidP="000D04EF">
            <w:pPr>
              <w:rPr>
                <w:rFonts w:eastAsia="Aptos" w:cs="Arial"/>
                <w:lang w:eastAsia="en-US"/>
              </w:rPr>
            </w:pPr>
          </w:p>
        </w:tc>
        <w:tc>
          <w:tcPr>
            <w:tcW w:w="4961" w:type="dxa"/>
          </w:tcPr>
          <w:p w14:paraId="1A97DE46" w14:textId="77777777" w:rsidR="000D04EF" w:rsidRPr="00D33A1E" w:rsidRDefault="000D04EF" w:rsidP="000D04EF">
            <w:pPr>
              <w:rPr>
                <w:rFonts w:eastAsia="Aptos" w:cs="Arial"/>
                <w:lang w:eastAsia="en-US"/>
              </w:rPr>
            </w:pPr>
          </w:p>
        </w:tc>
      </w:tr>
      <w:tr w:rsidR="000D04EF" w:rsidRPr="00D33A1E" w14:paraId="7CC201E3" w14:textId="77777777" w:rsidTr="00326018">
        <w:tc>
          <w:tcPr>
            <w:tcW w:w="5382" w:type="dxa"/>
          </w:tcPr>
          <w:p w14:paraId="09578BF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11 (3) The health establishment must develop, implement and maintain processes proportionate to the level of care and scope of services to assess, protect and clinically manage users who are at high risk.</w:t>
            </w:r>
          </w:p>
          <w:p w14:paraId="7EA2613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(4) For the purpose of sub-regulation (3) a health establishment must-</w:t>
            </w:r>
          </w:p>
          <w:p w14:paraId="36797CC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implement procedures and processes for management and monitoring of emergency resuscitations to improve user outcomes;</w:t>
            </w:r>
          </w:p>
          <w:p w14:paraId="6DB50F3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protect users undergoing high risk procedures by:</w:t>
            </w:r>
          </w:p>
          <w:p w14:paraId="5614EBB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 ensuring safety checks are done before, during and after surgery;</w:t>
            </w:r>
          </w:p>
          <w:p w14:paraId="7BA4DE8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 guiding the safe execution of invasive procedures;</w:t>
            </w:r>
          </w:p>
          <w:p w14:paraId="7EF96FE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(iii) guiding the safe administration of medication and safe injection practices;</w:t>
            </w:r>
          </w:p>
          <w:p w14:paraId="4245E36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(c) protecting users and health care personnel against ionising radiation exposure;</w:t>
            </w:r>
          </w:p>
          <w:p w14:paraId="0E30D59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having systems to facilitate user identification; and</w:t>
            </w:r>
          </w:p>
          <w:p w14:paraId="027E8AB3" w14:textId="77777777" w:rsidR="000D04EF" w:rsidRPr="00D33A1E" w:rsidRDefault="000D04EF" w:rsidP="000D04EF">
            <w:pPr>
              <w:spacing w:line="276" w:lineRule="auto"/>
              <w:rPr>
                <w:rFonts w:eastAsia="Aptos" w:cs="Arial"/>
                <w:b/>
                <w:bCs/>
                <w:lang w:eastAsia="en-US"/>
              </w:rPr>
            </w:pPr>
            <w:r w:rsidRPr="00D33A1E">
              <w:rPr>
                <w:rFonts w:eastAsia="Aptos" w:cs="Times New Roman"/>
                <w:color w:val="000000"/>
                <w:sz w:val="22"/>
                <w:szCs w:val="22"/>
                <w:lang w:val="en-ZA" w:eastAsia="en-US"/>
              </w:rPr>
              <w:t>(g) standardising user handover to advance safety and facilitate continuity of care.</w:t>
            </w:r>
          </w:p>
        </w:tc>
        <w:tc>
          <w:tcPr>
            <w:tcW w:w="4536" w:type="dxa"/>
          </w:tcPr>
          <w:p w14:paraId="4B9BB923" w14:textId="77777777" w:rsidR="000D04EF" w:rsidRPr="00D33A1E" w:rsidRDefault="000D04EF" w:rsidP="000D04EF">
            <w:pPr>
              <w:rPr>
                <w:rFonts w:eastAsia="Aptos" w:cs="Arial"/>
                <w:lang w:eastAsia="en-US"/>
              </w:rPr>
            </w:pPr>
          </w:p>
        </w:tc>
        <w:tc>
          <w:tcPr>
            <w:tcW w:w="4961" w:type="dxa"/>
          </w:tcPr>
          <w:p w14:paraId="301A51D4" w14:textId="77777777" w:rsidR="000D04EF" w:rsidRPr="00D33A1E" w:rsidRDefault="000D04EF" w:rsidP="000D04EF">
            <w:pPr>
              <w:rPr>
                <w:rFonts w:eastAsia="Aptos" w:cs="Arial"/>
                <w:lang w:eastAsia="en-US"/>
              </w:rPr>
            </w:pPr>
          </w:p>
        </w:tc>
      </w:tr>
      <w:tr w:rsidR="000D04EF" w:rsidRPr="00D33A1E" w14:paraId="3B169DE6" w14:textId="77777777" w:rsidTr="00326018">
        <w:tc>
          <w:tcPr>
            <w:tcW w:w="5382" w:type="dxa"/>
          </w:tcPr>
          <w:p w14:paraId="39CF536E"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b/>
                <w:bCs/>
                <w:sz w:val="22"/>
                <w:szCs w:val="22"/>
                <w:lang w:val="en-US" w:eastAsia="en-US"/>
              </w:rPr>
              <w:t>Regulation Statement</w:t>
            </w:r>
            <w:r w:rsidRPr="00D33A1E">
              <w:rPr>
                <w:rFonts w:eastAsia="Aptos" w:cs="Times New Roman"/>
                <w:sz w:val="22"/>
                <w:szCs w:val="22"/>
                <w:lang w:val="en-US" w:eastAsia="en-US"/>
              </w:rPr>
              <w:t>: 11 (5) The health establishments must conduct mortality audits to evaluate the quality of healthcare provided and use data to prevent future avoidable harm.</w:t>
            </w:r>
          </w:p>
          <w:p w14:paraId="61C08770"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b/>
                <w:bCs/>
                <w:sz w:val="22"/>
                <w:szCs w:val="22"/>
                <w:lang w:val="en-US" w:eastAsia="en-US"/>
              </w:rPr>
              <w:t>Sub-regulation statement</w:t>
            </w:r>
            <w:r w:rsidRPr="00D33A1E">
              <w:rPr>
                <w:rFonts w:eastAsia="Aptos" w:cs="Times New Roman"/>
                <w:sz w:val="22"/>
                <w:szCs w:val="22"/>
                <w:lang w:val="en-US" w:eastAsia="en-US"/>
              </w:rPr>
              <w:t>: (6) For the purpose of this sub-regulation (5), a health establishment must:</w:t>
            </w:r>
          </w:p>
          <w:p w14:paraId="3218C3C8"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(a) establish and implement a mortality audit system as part of its clinical governance programme;</w:t>
            </w:r>
          </w:p>
          <w:p w14:paraId="7B1B9F4D"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(b) conduct mortality audit which must be initiated within timeframes determined by the clinical governance protocols;</w:t>
            </w:r>
          </w:p>
          <w:p w14:paraId="6DBB5065"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(c) the mortality audit must:</w:t>
            </w:r>
          </w:p>
          <w:p w14:paraId="4608239C"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(i) review clinical management of user,</w:t>
            </w:r>
          </w:p>
          <w:p w14:paraId="414AE752"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 xml:space="preserve">(ii) identify factors contributing to death, </w:t>
            </w:r>
          </w:p>
          <w:p w14:paraId="719911D9"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 xml:space="preserve">(iii) formulate corrective and preventive actions and assign responsibility and timelines for implementation of such actions, and </w:t>
            </w:r>
          </w:p>
          <w:p w14:paraId="184EA29A" w14:textId="77777777" w:rsidR="000D04EF" w:rsidRPr="00D33A1E" w:rsidRDefault="000D04EF" w:rsidP="000D04EF">
            <w:pPr>
              <w:spacing w:line="259" w:lineRule="auto"/>
              <w:rPr>
                <w:rFonts w:eastAsia="Aptos" w:cs="Arial"/>
                <w:b/>
                <w:bCs/>
                <w:lang w:eastAsia="en-US"/>
              </w:rPr>
            </w:pPr>
            <w:r w:rsidRPr="00D33A1E">
              <w:rPr>
                <w:rFonts w:eastAsia="Aptos" w:cs="Times New Roman"/>
                <w:sz w:val="22"/>
                <w:szCs w:val="22"/>
                <w:lang w:val="en-US" w:eastAsia="en-US"/>
              </w:rPr>
              <w:t>(iv) report incidents to the relevant structure.</w:t>
            </w:r>
          </w:p>
        </w:tc>
        <w:tc>
          <w:tcPr>
            <w:tcW w:w="4536" w:type="dxa"/>
          </w:tcPr>
          <w:p w14:paraId="1BC0AFA9" w14:textId="77777777" w:rsidR="000D04EF" w:rsidRPr="00D33A1E" w:rsidRDefault="000D04EF" w:rsidP="000D04EF">
            <w:pPr>
              <w:rPr>
                <w:rFonts w:eastAsia="Aptos" w:cs="Arial"/>
                <w:lang w:eastAsia="en-US"/>
              </w:rPr>
            </w:pPr>
          </w:p>
        </w:tc>
        <w:tc>
          <w:tcPr>
            <w:tcW w:w="4961" w:type="dxa"/>
          </w:tcPr>
          <w:p w14:paraId="4A1FA556" w14:textId="77777777" w:rsidR="000D04EF" w:rsidRPr="00D33A1E" w:rsidRDefault="000D04EF" w:rsidP="000D04EF">
            <w:pPr>
              <w:rPr>
                <w:rFonts w:eastAsia="Aptos" w:cs="Arial"/>
                <w:lang w:eastAsia="en-US"/>
              </w:rPr>
            </w:pPr>
          </w:p>
        </w:tc>
      </w:tr>
      <w:tr w:rsidR="000D04EF" w:rsidRPr="00D33A1E" w14:paraId="6D9523F0" w14:textId="77777777" w:rsidTr="00326018">
        <w:tc>
          <w:tcPr>
            <w:tcW w:w="5382" w:type="dxa"/>
          </w:tcPr>
          <w:p w14:paraId="6DB4493C"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w:t>
            </w:r>
            <w:r w:rsidRPr="00D33A1E">
              <w:rPr>
                <w:rFonts w:eastAsia="Aptos" w:cs="Times New Roman"/>
                <w:sz w:val="22"/>
                <w:szCs w:val="22"/>
                <w:lang w:val="en-ZA" w:eastAsia="en-US"/>
              </w:rPr>
              <w:t xml:space="preserve"> </w:t>
            </w:r>
            <w:r w:rsidRPr="00D33A1E">
              <w:rPr>
                <w:rFonts w:eastAsia="Aptos" w:cs="Times New Roman"/>
                <w:b/>
                <w:bCs/>
                <w:sz w:val="22"/>
                <w:szCs w:val="22"/>
                <w:lang w:val="en-ZA" w:eastAsia="en-US"/>
              </w:rPr>
              <w:t>12 Clinical Accountability and Leadership</w:t>
            </w:r>
          </w:p>
          <w:p w14:paraId="386A63F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12 (1) The health establishment must establish and maintain systems, structures and programmes to promote clinical </w:t>
            </w:r>
            <w:r w:rsidRPr="00D33A1E">
              <w:rPr>
                <w:rFonts w:eastAsia="Aptos" w:cs="Times New Roman"/>
                <w:sz w:val="22"/>
                <w:szCs w:val="22"/>
                <w:lang w:val="en-ZA" w:eastAsia="en-US"/>
              </w:rPr>
              <w:lastRenderedPageBreak/>
              <w:t>accountability and leadership to safeguard the quality and safety of the health care services provided by the establishment.</w:t>
            </w:r>
          </w:p>
          <w:p w14:paraId="648A5E49" w14:textId="77777777" w:rsidR="000D04EF" w:rsidRPr="00D33A1E" w:rsidRDefault="000D04EF" w:rsidP="000D04EF">
            <w:pPr>
              <w:spacing w:line="276" w:lineRule="auto"/>
              <w:rPr>
                <w:rFonts w:eastAsia="Aptos" w:cs="Times New Roman"/>
                <w:sz w:val="22"/>
                <w:szCs w:val="22"/>
                <w:lang w:val="en-ZA" w:eastAsia="en-US"/>
              </w:rPr>
            </w:pPr>
            <w:bookmarkStart w:id="4" w:name="_Hlk223607189"/>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(2) For the purpose of sub-regulation (1) a health establishment must-</w:t>
            </w:r>
          </w:p>
          <w:bookmarkEnd w:id="4"/>
          <w:p w14:paraId="2B50090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a functional multidisciplinary  leadership structure responsible for overseeing quality of care and user safety;</w:t>
            </w:r>
          </w:p>
          <w:p w14:paraId="3876808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assign responsibility for co-ordination of  quality improvement to a member of the  leadership structure;</w:t>
            </w:r>
          </w:p>
          <w:p w14:paraId="352E472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monitor implementation of the clinical guidelines and clinical processes;</w:t>
            </w:r>
          </w:p>
          <w:p w14:paraId="4B6BE01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ensure the clinical leadership structure establishes and maintains a quality improvement programme that ─</w:t>
            </w:r>
          </w:p>
          <w:p w14:paraId="0481563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 analyses, monitors and acts upon quality and user safety data;</w:t>
            </w:r>
          </w:p>
          <w:p w14:paraId="70D5066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(ii) establish, monitor and  implement an antimicrobial stewardship programme; </w:t>
            </w:r>
          </w:p>
          <w:p w14:paraId="3763340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(iii) oversee the selection, prescribing, dispensing, administration and use of medicines as part of a pharmaceutical and therapeutics programme;</w:t>
            </w:r>
          </w:p>
          <w:p w14:paraId="73D084C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(e) develop and monitor the implementation of  quality improvement plans; </w:t>
            </w:r>
          </w:p>
          <w:p w14:paraId="2183A18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(f) making publicly available the outcomes of the quality improvement outcomes;</w:t>
            </w:r>
          </w:p>
          <w:p w14:paraId="51D7EDF0"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lastRenderedPageBreak/>
              <w:t>(g) implement a formal supervision programme for health care providers;</w:t>
            </w:r>
          </w:p>
          <w:p w14:paraId="63CFF7B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(h) conduct self-assessment; and</w:t>
            </w:r>
          </w:p>
          <w:p w14:paraId="3C5FE88C" w14:textId="77777777" w:rsidR="000D04EF" w:rsidRPr="00D33A1E" w:rsidRDefault="000D04EF" w:rsidP="000D04EF">
            <w:pPr>
              <w:spacing w:line="276" w:lineRule="auto"/>
              <w:rPr>
                <w:rFonts w:eastAsia="Aptos" w:cs="Arial"/>
                <w:b/>
                <w:bCs/>
                <w:lang w:eastAsia="en-US"/>
              </w:rPr>
            </w:pPr>
            <w:r w:rsidRPr="00D33A1E">
              <w:rPr>
                <w:rFonts w:eastAsia="Aptos" w:cs="Times New Roman"/>
                <w:color w:val="000000"/>
                <w:sz w:val="22"/>
                <w:szCs w:val="22"/>
                <w:lang w:val="en-ZA" w:eastAsia="en-US"/>
              </w:rPr>
              <w:t>(i) establish and implement an outreach programmes.</w:t>
            </w:r>
          </w:p>
        </w:tc>
        <w:tc>
          <w:tcPr>
            <w:tcW w:w="4536" w:type="dxa"/>
          </w:tcPr>
          <w:p w14:paraId="4669295C" w14:textId="77777777" w:rsidR="000D04EF" w:rsidRPr="00D33A1E" w:rsidRDefault="000D04EF" w:rsidP="000D04EF">
            <w:pPr>
              <w:rPr>
                <w:rFonts w:eastAsia="Aptos" w:cs="Arial"/>
                <w:lang w:eastAsia="en-US"/>
              </w:rPr>
            </w:pPr>
          </w:p>
        </w:tc>
        <w:tc>
          <w:tcPr>
            <w:tcW w:w="4961" w:type="dxa"/>
          </w:tcPr>
          <w:p w14:paraId="4B649AD8" w14:textId="77777777" w:rsidR="000D04EF" w:rsidRPr="00D33A1E" w:rsidRDefault="000D04EF" w:rsidP="000D04EF">
            <w:pPr>
              <w:rPr>
                <w:rFonts w:eastAsia="Aptos" w:cs="Arial"/>
                <w:lang w:eastAsia="en-US"/>
              </w:rPr>
            </w:pPr>
          </w:p>
        </w:tc>
      </w:tr>
      <w:tr w:rsidR="000D04EF" w:rsidRPr="00D33A1E" w14:paraId="20230593" w14:textId="77777777" w:rsidTr="00326018">
        <w:tc>
          <w:tcPr>
            <w:tcW w:w="5382" w:type="dxa"/>
          </w:tcPr>
          <w:p w14:paraId="0D90955E"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lastRenderedPageBreak/>
              <w:t>Regulation title: 13 Clinical Risk Management</w:t>
            </w:r>
          </w:p>
          <w:p w14:paraId="7EBEEF4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13 (1) The health establishment must maintain a system for identifying, minimising and mitigating clinical risks to the health and safety of users and healthcare personnel. </w:t>
            </w:r>
          </w:p>
          <w:p w14:paraId="7DEE05C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 of sub-regulation (1) a health establishment must-</w:t>
            </w:r>
          </w:p>
          <w:p w14:paraId="2F6089B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systems and processes to conduct and analyse clinical risks;</w:t>
            </w:r>
          </w:p>
          <w:p w14:paraId="25903D6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conduct risk assessment on vulnerable users to identify and mitigate clinical risk;</w:t>
            </w:r>
          </w:p>
          <w:p w14:paraId="298F441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implement a risk management programme and control measures proportionate to the services provided that address:</w:t>
            </w:r>
          </w:p>
          <w:p w14:paraId="7833493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(i) emergency care and resuscitation preparedness; </w:t>
            </w:r>
          </w:p>
          <w:p w14:paraId="628CCBA6" w14:textId="77777777" w:rsidR="000D04EF" w:rsidRPr="00D33A1E" w:rsidRDefault="000D04EF" w:rsidP="000D04EF">
            <w:pPr>
              <w:spacing w:line="276" w:lineRule="auto"/>
              <w:rPr>
                <w:rFonts w:eastAsia="Aptos" w:cs="Aptos"/>
                <w:color w:val="008080"/>
                <w:sz w:val="22"/>
                <w:szCs w:val="22"/>
                <w:u w:val="single"/>
                <w:lang w:val="en-ZA" w:eastAsia="en-US"/>
              </w:rPr>
            </w:pPr>
            <w:r w:rsidRPr="00D33A1E">
              <w:rPr>
                <w:rFonts w:eastAsia="Aptos" w:cs="Times New Roman"/>
                <w:sz w:val="22"/>
                <w:szCs w:val="22"/>
                <w:lang w:val="en-ZA" w:eastAsia="en-US"/>
              </w:rPr>
              <w:t xml:space="preserve">(ii) Infection prevention and control and healthcare-associated infection; </w:t>
            </w:r>
          </w:p>
          <w:p w14:paraId="4E6D852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(iii)  safe clinical procedures relevant to the services provided;</w:t>
            </w:r>
          </w:p>
          <w:p w14:paraId="5A993D6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(iv) safe prescribing and medicines management, including the prevention and management of medication errors and adverse drug reactions;</w:t>
            </w:r>
          </w:p>
          <w:p w14:paraId="43D62A6E" w14:textId="318396DD"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provide  training on clinical risk management;</w:t>
            </w:r>
            <w:r w:rsidR="00DC6B94">
              <w:rPr>
                <w:rFonts w:eastAsia="Aptos" w:cs="Times New Roman"/>
                <w:sz w:val="22"/>
                <w:szCs w:val="22"/>
                <w:lang w:val="en-ZA" w:eastAsia="en-US"/>
              </w:rPr>
              <w:t xml:space="preserve"> and</w:t>
            </w:r>
          </w:p>
          <w:p w14:paraId="0A26A1C5"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lastRenderedPageBreak/>
              <w:t xml:space="preserve">(e) have procedures  to authorise and monitor research projects involving healthcare users and healthcare personnel. </w:t>
            </w:r>
          </w:p>
        </w:tc>
        <w:tc>
          <w:tcPr>
            <w:tcW w:w="4536" w:type="dxa"/>
          </w:tcPr>
          <w:p w14:paraId="0718B3F3" w14:textId="77777777" w:rsidR="000D04EF" w:rsidRPr="00D33A1E" w:rsidRDefault="000D04EF" w:rsidP="000D04EF">
            <w:pPr>
              <w:rPr>
                <w:rFonts w:eastAsia="Aptos" w:cs="Arial"/>
                <w:lang w:eastAsia="en-US"/>
              </w:rPr>
            </w:pPr>
          </w:p>
        </w:tc>
        <w:tc>
          <w:tcPr>
            <w:tcW w:w="4961" w:type="dxa"/>
          </w:tcPr>
          <w:p w14:paraId="59BC194A" w14:textId="77777777" w:rsidR="000D04EF" w:rsidRPr="00D33A1E" w:rsidRDefault="000D04EF" w:rsidP="000D04EF">
            <w:pPr>
              <w:rPr>
                <w:rFonts w:eastAsia="Aptos" w:cs="Arial"/>
                <w:lang w:eastAsia="en-US"/>
              </w:rPr>
            </w:pPr>
          </w:p>
        </w:tc>
      </w:tr>
      <w:tr w:rsidR="000D04EF" w:rsidRPr="00D33A1E" w14:paraId="3383C474" w14:textId="77777777" w:rsidTr="00326018">
        <w:tc>
          <w:tcPr>
            <w:tcW w:w="5382" w:type="dxa"/>
          </w:tcPr>
          <w:p w14:paraId="7A999C2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13 (3) The health establishment must have a formal process to be followed when obtaining informed consent in accordance with Chapter 2 of the National Health Act (Section 7).</w:t>
            </w:r>
          </w:p>
          <w:p w14:paraId="7207CC5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 (</w:t>
            </w:r>
            <w:r w:rsidRPr="00D33A1E">
              <w:rPr>
                <w:rFonts w:eastAsia="Aptos" w:cs="Times New Roman"/>
                <w:sz w:val="22"/>
                <w:szCs w:val="22"/>
                <w:lang w:val="en-ZA" w:eastAsia="en-US"/>
              </w:rPr>
              <w:t>4) For the purposes of sub-regulation (3), a health establishment must-</w:t>
            </w:r>
          </w:p>
          <w:p w14:paraId="30373FE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a documented procedure for obtaining informed consent from the user or legal guardian or power of attorney agent (POA) by healthcare providers;</w:t>
            </w:r>
          </w:p>
          <w:p w14:paraId="529A9AF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ensure that informed consent obtained by the health care provider for specified procedure is filed in the user health record held in the health establishment where the procedure is being performed;</w:t>
            </w:r>
          </w:p>
          <w:p w14:paraId="1036E13A"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(c) ensure that confidential information or user-identifiable data is not divulged without prior consent of the user or their legal representative as per legislation.</w:t>
            </w:r>
          </w:p>
        </w:tc>
        <w:tc>
          <w:tcPr>
            <w:tcW w:w="4536" w:type="dxa"/>
          </w:tcPr>
          <w:p w14:paraId="246B2119" w14:textId="77777777" w:rsidR="000D04EF" w:rsidRPr="00D33A1E" w:rsidRDefault="000D04EF" w:rsidP="000D04EF">
            <w:pPr>
              <w:rPr>
                <w:rFonts w:eastAsia="Aptos" w:cs="Arial"/>
                <w:lang w:eastAsia="en-US"/>
              </w:rPr>
            </w:pPr>
          </w:p>
        </w:tc>
        <w:tc>
          <w:tcPr>
            <w:tcW w:w="4961" w:type="dxa"/>
          </w:tcPr>
          <w:p w14:paraId="3CE18A4F" w14:textId="77777777" w:rsidR="000D04EF" w:rsidRPr="00D33A1E" w:rsidRDefault="000D04EF" w:rsidP="000D04EF">
            <w:pPr>
              <w:rPr>
                <w:rFonts w:eastAsia="Aptos" w:cs="Arial"/>
                <w:lang w:eastAsia="en-US"/>
              </w:rPr>
            </w:pPr>
          </w:p>
        </w:tc>
      </w:tr>
      <w:tr w:rsidR="000D04EF" w:rsidRPr="00D33A1E" w14:paraId="7281E8AE" w14:textId="77777777" w:rsidTr="00326018">
        <w:tc>
          <w:tcPr>
            <w:tcW w:w="5382" w:type="dxa"/>
          </w:tcPr>
          <w:p w14:paraId="6114621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13 (5) The healthcare provider must issue a discharge report to users in the health establishment in accordance with section 10 of the National Health Act.</w:t>
            </w:r>
          </w:p>
          <w:p w14:paraId="6604F9C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lastRenderedPageBreak/>
              <w:t>Sub-regulation statements: (</w:t>
            </w:r>
            <w:r w:rsidRPr="00D33A1E">
              <w:rPr>
                <w:rFonts w:eastAsia="Aptos" w:cs="Times New Roman"/>
                <w:sz w:val="22"/>
                <w:szCs w:val="22"/>
                <w:lang w:val="en-ZA" w:eastAsia="en-US"/>
              </w:rPr>
              <w:t>6) For the purposes of sub-regulation (5), a health establishment must ensure that the healthcare provider-</w:t>
            </w:r>
          </w:p>
          <w:p w14:paraId="67EF422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(a) issues  a discharge report to the user at the time of discharge or completion of care; </w:t>
            </w:r>
          </w:p>
          <w:p w14:paraId="60CA8DF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documents the relevant clinical information, diagnosis, management, and follow-up instructions in the discharge report;</w:t>
            </w:r>
          </w:p>
          <w:p w14:paraId="55B6145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retains a copy of the discharge report in the user health record; and</w:t>
            </w:r>
          </w:p>
          <w:p w14:paraId="45379AAF" w14:textId="77777777" w:rsidR="000D04EF" w:rsidRPr="00D33A1E" w:rsidRDefault="000D04EF" w:rsidP="000D04EF">
            <w:pPr>
              <w:rPr>
                <w:rFonts w:eastAsia="Aptos" w:cs="Arial"/>
                <w:b/>
                <w:bCs/>
                <w:lang w:eastAsia="en-US"/>
              </w:rPr>
            </w:pPr>
            <w:r w:rsidRPr="00D33A1E">
              <w:rPr>
                <w:rFonts w:eastAsia="Aptos" w:cs="Times New Roman"/>
                <w:sz w:val="22"/>
                <w:szCs w:val="22"/>
                <w:lang w:val="en-ZA" w:eastAsia="en-US"/>
              </w:rPr>
              <w:t>(d) provides a discharge report to the user.</w:t>
            </w:r>
          </w:p>
        </w:tc>
        <w:tc>
          <w:tcPr>
            <w:tcW w:w="4536" w:type="dxa"/>
          </w:tcPr>
          <w:p w14:paraId="01360B30" w14:textId="77777777" w:rsidR="000D04EF" w:rsidRPr="00D33A1E" w:rsidRDefault="000D04EF" w:rsidP="000D04EF">
            <w:pPr>
              <w:rPr>
                <w:rFonts w:eastAsia="Aptos" w:cs="Arial"/>
                <w:lang w:eastAsia="en-US"/>
              </w:rPr>
            </w:pPr>
          </w:p>
        </w:tc>
        <w:tc>
          <w:tcPr>
            <w:tcW w:w="4961" w:type="dxa"/>
          </w:tcPr>
          <w:p w14:paraId="1157DB3A" w14:textId="77777777" w:rsidR="000D04EF" w:rsidRPr="00D33A1E" w:rsidRDefault="000D04EF" w:rsidP="000D04EF">
            <w:pPr>
              <w:rPr>
                <w:rFonts w:eastAsia="Aptos" w:cs="Arial"/>
                <w:lang w:eastAsia="en-US"/>
              </w:rPr>
            </w:pPr>
          </w:p>
        </w:tc>
      </w:tr>
      <w:tr w:rsidR="000D04EF" w:rsidRPr="00D33A1E" w14:paraId="2D3C799F" w14:textId="77777777" w:rsidTr="00326018">
        <w:tc>
          <w:tcPr>
            <w:tcW w:w="5382" w:type="dxa"/>
          </w:tcPr>
          <w:p w14:paraId="7CC851C8"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14 Complaints, Compliments and Suggestions  Management; Patient Experience of Care and Patient Safety Incidents.</w:t>
            </w:r>
          </w:p>
          <w:p w14:paraId="2BF663E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14 (1) The health establishment must monitor  complaints, compliments and suggestions to identify recurring safety risks, improve the quality of patient care, and rebuild institutional trust .</w:t>
            </w:r>
          </w:p>
          <w:p w14:paraId="2663BE0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 (</w:t>
            </w:r>
            <w:r w:rsidRPr="00D33A1E">
              <w:rPr>
                <w:rFonts w:eastAsia="Aptos" w:cs="Times New Roman"/>
                <w:sz w:val="22"/>
                <w:szCs w:val="22"/>
                <w:lang w:val="en-ZA" w:eastAsia="en-US"/>
              </w:rPr>
              <w:t>2) For the purpose of sub-regulation (1) a health establishment must-</w:t>
            </w:r>
          </w:p>
          <w:p w14:paraId="5B7E115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develop, implement and maintain systems to manage complaints, compliments and suggestions in line with National or health establishment guidelines as the case may be; and</w:t>
            </w:r>
          </w:p>
          <w:p w14:paraId="0E6B5D85" w14:textId="3935CE5A" w:rsidR="000D04EF" w:rsidRPr="00D33A1E" w:rsidRDefault="000D04EF" w:rsidP="000D04EF">
            <w:pPr>
              <w:rPr>
                <w:rFonts w:eastAsia="Aptos" w:cs="Arial"/>
                <w:b/>
                <w:bCs/>
                <w:lang w:eastAsia="en-US"/>
              </w:rPr>
            </w:pPr>
            <w:r w:rsidRPr="00D33A1E">
              <w:rPr>
                <w:rFonts w:eastAsia="Aptos" w:cs="Times New Roman"/>
                <w:sz w:val="22"/>
                <w:szCs w:val="22"/>
                <w:lang w:val="en-ZA" w:eastAsia="en-US"/>
              </w:rPr>
              <w:t>(b) provide users with information relating to complaints, compliments and suggestions</w:t>
            </w:r>
            <w:r w:rsidR="00B8712E">
              <w:rPr>
                <w:rFonts w:eastAsia="Aptos" w:cs="Times New Roman"/>
                <w:sz w:val="22"/>
                <w:szCs w:val="22"/>
                <w:lang w:val="en-ZA" w:eastAsia="en-US"/>
              </w:rPr>
              <w:t>.</w:t>
            </w:r>
          </w:p>
        </w:tc>
        <w:tc>
          <w:tcPr>
            <w:tcW w:w="4536" w:type="dxa"/>
          </w:tcPr>
          <w:p w14:paraId="47EF6BEA" w14:textId="77777777" w:rsidR="000D04EF" w:rsidRPr="00D33A1E" w:rsidRDefault="000D04EF" w:rsidP="000D04EF">
            <w:pPr>
              <w:rPr>
                <w:rFonts w:eastAsia="Aptos" w:cs="Arial"/>
                <w:lang w:eastAsia="en-US"/>
              </w:rPr>
            </w:pPr>
          </w:p>
        </w:tc>
        <w:tc>
          <w:tcPr>
            <w:tcW w:w="4961" w:type="dxa"/>
          </w:tcPr>
          <w:p w14:paraId="470BDD7A" w14:textId="77777777" w:rsidR="000D04EF" w:rsidRPr="00D33A1E" w:rsidRDefault="000D04EF" w:rsidP="000D04EF">
            <w:pPr>
              <w:rPr>
                <w:rFonts w:eastAsia="Aptos" w:cs="Arial"/>
                <w:lang w:eastAsia="en-US"/>
              </w:rPr>
            </w:pPr>
          </w:p>
        </w:tc>
      </w:tr>
      <w:tr w:rsidR="000D04EF" w:rsidRPr="00D33A1E" w14:paraId="7147FD13" w14:textId="77777777" w:rsidTr="00326018">
        <w:tc>
          <w:tcPr>
            <w:tcW w:w="5382" w:type="dxa"/>
          </w:tcPr>
          <w:p w14:paraId="04129C9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lastRenderedPageBreak/>
              <w:t xml:space="preserve">Regulation Statement: </w:t>
            </w:r>
            <w:r w:rsidRPr="00D33A1E">
              <w:rPr>
                <w:rFonts w:eastAsia="Aptos" w:cs="Times New Roman"/>
                <w:sz w:val="22"/>
                <w:szCs w:val="22"/>
                <w:lang w:val="en-ZA" w:eastAsia="en-US"/>
              </w:rPr>
              <w:t>14 (3) The health establishment must conduct user experience of care surveys in order to drive better clinical outcomes, uncover hidden safety risks, and ensure equitable, high-quality care.</w:t>
            </w:r>
          </w:p>
          <w:p w14:paraId="590EC9F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 (</w:t>
            </w:r>
            <w:r w:rsidRPr="00D33A1E">
              <w:rPr>
                <w:rFonts w:eastAsia="Aptos" w:cs="Times New Roman"/>
                <w:sz w:val="22"/>
                <w:szCs w:val="22"/>
                <w:lang w:val="en-ZA" w:eastAsia="en-US"/>
              </w:rPr>
              <w:t>4) For the purpose of sub-regulation (3) a health establishment must-</w:t>
            </w:r>
          </w:p>
          <w:p w14:paraId="2766D28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develop, implement and maintain systems to manage patient experience of care surveys in line with National or health establishment guidelines as the case may be; and</w:t>
            </w:r>
          </w:p>
          <w:p w14:paraId="2EA7A863"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(b) visibly display the results of user experience of care surveys conducted within the past twelve months.</w:t>
            </w:r>
          </w:p>
        </w:tc>
        <w:tc>
          <w:tcPr>
            <w:tcW w:w="4536" w:type="dxa"/>
          </w:tcPr>
          <w:p w14:paraId="70F3B6E7" w14:textId="77777777" w:rsidR="000D04EF" w:rsidRPr="00D33A1E" w:rsidRDefault="000D04EF" w:rsidP="000D04EF">
            <w:pPr>
              <w:rPr>
                <w:rFonts w:eastAsia="Aptos" w:cs="Arial"/>
                <w:lang w:eastAsia="en-US"/>
              </w:rPr>
            </w:pPr>
          </w:p>
        </w:tc>
        <w:tc>
          <w:tcPr>
            <w:tcW w:w="4961" w:type="dxa"/>
          </w:tcPr>
          <w:p w14:paraId="50BCAD0F" w14:textId="77777777" w:rsidR="000D04EF" w:rsidRPr="00D33A1E" w:rsidRDefault="000D04EF" w:rsidP="000D04EF">
            <w:pPr>
              <w:rPr>
                <w:rFonts w:eastAsia="Aptos" w:cs="Arial"/>
                <w:lang w:eastAsia="en-US"/>
              </w:rPr>
            </w:pPr>
          </w:p>
        </w:tc>
      </w:tr>
      <w:tr w:rsidR="000D04EF" w:rsidRPr="00D33A1E" w14:paraId="27DA8596" w14:textId="77777777" w:rsidTr="00326018">
        <w:tc>
          <w:tcPr>
            <w:tcW w:w="5382" w:type="dxa"/>
          </w:tcPr>
          <w:p w14:paraId="71C4BFEE" w14:textId="77777777" w:rsidR="000D04EF" w:rsidRPr="00D33A1E" w:rsidRDefault="000D04EF" w:rsidP="000D04EF">
            <w:pPr>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14 (5) The health establishment must monitor and manage patient safety incidents to learn from the incidents, prevent recurring harm, and use data to continuously improve the quality of healthcare.</w:t>
            </w:r>
          </w:p>
          <w:p w14:paraId="2403FB62" w14:textId="77777777" w:rsidR="000D04EF" w:rsidRPr="00D33A1E" w:rsidRDefault="000D04EF" w:rsidP="000D04EF">
            <w:pPr>
              <w:rPr>
                <w:rFonts w:eastAsia="Aptos" w:cs="Times New Roman"/>
                <w:sz w:val="22"/>
                <w:szCs w:val="22"/>
                <w:lang w:val="en-ZA" w:eastAsia="en-US"/>
              </w:rPr>
            </w:pPr>
            <w:r w:rsidRPr="00D33A1E">
              <w:rPr>
                <w:rFonts w:eastAsia="Aptos" w:cs="Times New Roman"/>
                <w:b/>
                <w:bCs/>
                <w:sz w:val="22"/>
                <w:szCs w:val="22"/>
                <w:lang w:val="en-ZA" w:eastAsia="en-US"/>
              </w:rPr>
              <w:t>Sub-regulation statements: (</w:t>
            </w:r>
            <w:r w:rsidRPr="00D33A1E">
              <w:rPr>
                <w:rFonts w:eastAsia="Aptos" w:cs="Times New Roman"/>
                <w:sz w:val="22"/>
                <w:szCs w:val="22"/>
                <w:lang w:val="en-ZA" w:eastAsia="en-US"/>
              </w:rPr>
              <w:t>6) For the purpose of sub-regulation (5) a health establishment must-</w:t>
            </w:r>
          </w:p>
          <w:p w14:paraId="47CFA40F" w14:textId="77777777" w:rsidR="000D04EF" w:rsidRPr="00D33A1E" w:rsidRDefault="000D04EF" w:rsidP="000D04EF">
            <w:pPr>
              <w:rPr>
                <w:rFonts w:eastAsia="Aptos" w:cs="Times New Roman"/>
                <w:sz w:val="22"/>
                <w:szCs w:val="22"/>
                <w:lang w:val="en-ZA" w:eastAsia="en-US"/>
              </w:rPr>
            </w:pPr>
            <w:r w:rsidRPr="00D33A1E">
              <w:rPr>
                <w:rFonts w:eastAsia="Aptos" w:cs="Times New Roman"/>
                <w:sz w:val="22"/>
                <w:szCs w:val="22"/>
                <w:lang w:val="en-ZA" w:eastAsia="en-US"/>
              </w:rPr>
              <w:t>(a) develop, implement and maintain systems to identify, investigate and  analyse patient safety incidents in line with National or health establishment guidelines; and</w:t>
            </w:r>
          </w:p>
          <w:p w14:paraId="03D5BBE7" w14:textId="77777777" w:rsidR="000D04EF" w:rsidRPr="00D33A1E" w:rsidRDefault="000D04EF" w:rsidP="000D04EF">
            <w:pPr>
              <w:rPr>
                <w:rFonts w:eastAsia="Aptos" w:cs="Arial"/>
                <w:b/>
                <w:bCs/>
                <w:lang w:eastAsia="en-US"/>
              </w:rPr>
            </w:pPr>
            <w:r w:rsidRPr="00D33A1E">
              <w:rPr>
                <w:rFonts w:eastAsia="Aptos" w:cs="Times New Roman"/>
                <w:sz w:val="22"/>
                <w:szCs w:val="22"/>
                <w:lang w:val="en-ZA" w:eastAsia="en-US"/>
              </w:rPr>
              <w:t>(b) manage and  report patient safety incidents to the relevant authority.</w:t>
            </w:r>
          </w:p>
        </w:tc>
        <w:tc>
          <w:tcPr>
            <w:tcW w:w="4536" w:type="dxa"/>
          </w:tcPr>
          <w:p w14:paraId="39964856" w14:textId="77777777" w:rsidR="000D04EF" w:rsidRPr="00D33A1E" w:rsidRDefault="000D04EF" w:rsidP="000D04EF">
            <w:pPr>
              <w:rPr>
                <w:rFonts w:eastAsia="Aptos" w:cs="Arial"/>
                <w:lang w:eastAsia="en-US"/>
              </w:rPr>
            </w:pPr>
          </w:p>
        </w:tc>
        <w:tc>
          <w:tcPr>
            <w:tcW w:w="4961" w:type="dxa"/>
          </w:tcPr>
          <w:p w14:paraId="5561E6A7" w14:textId="77777777" w:rsidR="000D04EF" w:rsidRPr="00D33A1E" w:rsidRDefault="000D04EF" w:rsidP="000D04EF">
            <w:pPr>
              <w:rPr>
                <w:rFonts w:eastAsia="Aptos" w:cs="Arial"/>
                <w:lang w:eastAsia="en-US"/>
              </w:rPr>
            </w:pPr>
          </w:p>
        </w:tc>
      </w:tr>
      <w:tr w:rsidR="000D04EF" w:rsidRPr="00D33A1E" w14:paraId="53816FAA" w14:textId="77777777" w:rsidTr="00326018">
        <w:tc>
          <w:tcPr>
            <w:tcW w:w="5382" w:type="dxa"/>
          </w:tcPr>
          <w:p w14:paraId="05439B12"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 xml:space="preserve">Regulation title: 15 Infection Prevention and Control Programme </w:t>
            </w:r>
          </w:p>
          <w:p w14:paraId="0DA0B14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lastRenderedPageBreak/>
              <w:t>Regulation Statement:</w:t>
            </w:r>
            <w:r w:rsidRPr="00D33A1E">
              <w:rPr>
                <w:rFonts w:eastAsia="Aptos" w:cs="Times New Roman"/>
                <w:sz w:val="22"/>
                <w:szCs w:val="22"/>
                <w:lang w:val="en-ZA" w:eastAsia="en-US"/>
              </w:rPr>
              <w:t xml:space="preserve"> 15 (1) The health establishment must maintain an environment, which minimises the risk of disease outbreak, the transmission of infection to users, health care personnel and visitors. </w:t>
            </w:r>
          </w:p>
          <w:p w14:paraId="68BD729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a health establishment must-</w:t>
            </w:r>
          </w:p>
          <w:p w14:paraId="46E1F27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implement  an Infection Prevention and Control Programme;</w:t>
            </w:r>
          </w:p>
          <w:p w14:paraId="65203A8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have a designated Infection Prevention and Control structure with documented roles and responsibilities;</w:t>
            </w:r>
          </w:p>
          <w:p w14:paraId="2072A28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establish and implement a formal surveillance and reporting system to identify,</w:t>
            </w:r>
          </w:p>
          <w:p w14:paraId="68D1686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track and manage health care associated infections, notifiable diseases/conditions and antimicrobial resistance;</w:t>
            </w:r>
          </w:p>
          <w:p w14:paraId="449E6DE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develop, implement and monitor a hand hygiene programme;</w:t>
            </w:r>
          </w:p>
          <w:p w14:paraId="0CEB7C9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provide hand hygiene consumables and equipment  in service areas;</w:t>
            </w:r>
          </w:p>
          <w:p w14:paraId="41171A0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(f) implement standard precautions, transmission-based precautions and contact precautions;</w:t>
            </w:r>
          </w:p>
          <w:p w14:paraId="2E4F27D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(g) train healthcare personnel and users on infection prevention and control practices;</w:t>
            </w:r>
          </w:p>
          <w:p w14:paraId="2DB8F32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(h) provide personal protective equipment and facilitate provision of prophylactic immunisations or post exposure prophylaxis;</w:t>
            </w:r>
          </w:p>
          <w:p w14:paraId="2B55A711" w14:textId="77777777" w:rsidR="000D04EF" w:rsidRPr="00D33A1E" w:rsidRDefault="000D04EF" w:rsidP="000D04EF">
            <w:pPr>
              <w:spacing w:line="276" w:lineRule="auto"/>
              <w:rPr>
                <w:rFonts w:eastAsia="Aptos" w:cs="Arial"/>
                <w:b/>
                <w:bCs/>
                <w:lang w:eastAsia="en-US"/>
              </w:rPr>
            </w:pPr>
            <w:r w:rsidRPr="00D33A1E">
              <w:rPr>
                <w:rFonts w:eastAsia="Aptos" w:cs="Times New Roman"/>
                <w:color w:val="000000"/>
                <w:sz w:val="22"/>
                <w:szCs w:val="22"/>
                <w:lang w:val="en-ZA" w:eastAsia="en-US"/>
              </w:rPr>
              <w:lastRenderedPageBreak/>
              <w:t>(i) have a feed preparation area/milk kitchen that complies with infection prevention and control requirements.</w:t>
            </w:r>
          </w:p>
        </w:tc>
        <w:tc>
          <w:tcPr>
            <w:tcW w:w="4536" w:type="dxa"/>
          </w:tcPr>
          <w:p w14:paraId="0FF706FA" w14:textId="77777777" w:rsidR="000D04EF" w:rsidRPr="00D33A1E" w:rsidRDefault="000D04EF" w:rsidP="000D04EF">
            <w:pPr>
              <w:rPr>
                <w:rFonts w:eastAsia="Aptos" w:cs="Arial"/>
                <w:lang w:eastAsia="en-US"/>
              </w:rPr>
            </w:pPr>
          </w:p>
        </w:tc>
        <w:tc>
          <w:tcPr>
            <w:tcW w:w="4961" w:type="dxa"/>
          </w:tcPr>
          <w:p w14:paraId="12D36975" w14:textId="77777777" w:rsidR="000D04EF" w:rsidRPr="00D33A1E" w:rsidRDefault="000D04EF" w:rsidP="000D04EF">
            <w:pPr>
              <w:rPr>
                <w:rFonts w:eastAsia="Aptos" w:cs="Arial"/>
                <w:lang w:eastAsia="en-US"/>
              </w:rPr>
            </w:pPr>
          </w:p>
        </w:tc>
      </w:tr>
      <w:tr w:rsidR="000D04EF" w:rsidRPr="00D33A1E" w14:paraId="148B8F09" w14:textId="77777777" w:rsidTr="00326018">
        <w:tc>
          <w:tcPr>
            <w:tcW w:w="5382" w:type="dxa"/>
          </w:tcPr>
          <w:p w14:paraId="27A5B582"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b/>
                <w:bCs/>
                <w:color w:val="000000"/>
                <w:sz w:val="22"/>
                <w:szCs w:val="22"/>
                <w:lang w:val="en-ZA" w:eastAsia="en-US"/>
              </w:rPr>
              <w:lastRenderedPageBreak/>
              <w:t xml:space="preserve">Regulation Statement: </w:t>
            </w:r>
            <w:r w:rsidRPr="00D33A1E">
              <w:rPr>
                <w:rFonts w:eastAsia="Aptos" w:cs="Times New Roman"/>
                <w:color w:val="000000"/>
                <w:sz w:val="22"/>
                <w:szCs w:val="22"/>
                <w:lang w:val="en-ZA" w:eastAsia="en-US"/>
              </w:rPr>
              <w:t>15 (3) The health establishment must provide the required facilities, equipment and supplies to facilitate the prevention of transmission of infection to users, health care personnel and visitors.</w:t>
            </w:r>
          </w:p>
          <w:p w14:paraId="1B311385"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b/>
                <w:bCs/>
                <w:color w:val="000000"/>
                <w:sz w:val="22"/>
                <w:szCs w:val="22"/>
                <w:lang w:val="en-ZA" w:eastAsia="en-US"/>
              </w:rPr>
              <w:t>Sub-regulation statements:</w:t>
            </w:r>
            <w:r w:rsidRPr="00D33A1E">
              <w:rPr>
                <w:rFonts w:eastAsia="Aptos" w:cs="Times New Roman"/>
                <w:color w:val="000000"/>
                <w:sz w:val="22"/>
                <w:szCs w:val="22"/>
                <w:lang w:val="en-ZA" w:eastAsia="en-US"/>
              </w:rPr>
              <w:t xml:space="preserve"> (4) For the purposes of sub-regulation (3), a health establishment must-</w:t>
            </w:r>
          </w:p>
          <w:p w14:paraId="44C6A03F" w14:textId="77777777" w:rsidR="000D04EF" w:rsidRPr="00D33A1E" w:rsidRDefault="000D04EF" w:rsidP="000D04EF">
            <w:pPr>
              <w:spacing w:line="276" w:lineRule="auto"/>
              <w:rPr>
                <w:rFonts w:eastAsia="Aptos" w:cs="Arial"/>
                <w:b/>
                <w:bCs/>
                <w:lang w:eastAsia="en-US"/>
              </w:rPr>
            </w:pPr>
            <w:r w:rsidRPr="00D33A1E">
              <w:rPr>
                <w:rFonts w:eastAsia="Aptos" w:cs="Times New Roman"/>
                <w:color w:val="000000"/>
                <w:sz w:val="22"/>
                <w:szCs w:val="22"/>
                <w:lang w:val="en-ZA" w:eastAsia="en-US"/>
              </w:rPr>
              <w:t>(a) provide isolation facilities (rooms or cubicles) with suitable ventilation for accommodating users with contagious/transmissible infections.</w:t>
            </w:r>
          </w:p>
        </w:tc>
        <w:tc>
          <w:tcPr>
            <w:tcW w:w="4536" w:type="dxa"/>
          </w:tcPr>
          <w:p w14:paraId="12FE5CF1" w14:textId="77777777" w:rsidR="000D04EF" w:rsidRPr="00D33A1E" w:rsidRDefault="000D04EF" w:rsidP="000D04EF">
            <w:pPr>
              <w:rPr>
                <w:rFonts w:eastAsia="Aptos" w:cs="Arial"/>
                <w:lang w:eastAsia="en-US"/>
              </w:rPr>
            </w:pPr>
          </w:p>
        </w:tc>
        <w:tc>
          <w:tcPr>
            <w:tcW w:w="4961" w:type="dxa"/>
          </w:tcPr>
          <w:p w14:paraId="43404B0A" w14:textId="77777777" w:rsidR="000D04EF" w:rsidRPr="00D33A1E" w:rsidRDefault="000D04EF" w:rsidP="000D04EF">
            <w:pPr>
              <w:rPr>
                <w:rFonts w:eastAsia="Aptos" w:cs="Arial"/>
                <w:lang w:eastAsia="en-US"/>
              </w:rPr>
            </w:pPr>
          </w:p>
        </w:tc>
      </w:tr>
      <w:tr w:rsidR="000D04EF" w:rsidRPr="00D33A1E" w14:paraId="7D914F4F" w14:textId="77777777" w:rsidTr="00326018">
        <w:tc>
          <w:tcPr>
            <w:tcW w:w="5382" w:type="dxa"/>
          </w:tcPr>
          <w:p w14:paraId="48FAFBEC"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 xml:space="preserve">Regulation title: 16 Waste Management </w:t>
            </w:r>
          </w:p>
          <w:p w14:paraId="5F9F7AA7" w14:textId="77777777" w:rsidR="000D04EF" w:rsidRPr="00D33A1E" w:rsidRDefault="000D04EF" w:rsidP="000D04EF">
            <w:pPr>
              <w:spacing w:line="276" w:lineRule="auto"/>
              <w:rPr>
                <w:rFonts w:eastAsia="Aptos" w:cs="Times New Roman"/>
                <w:sz w:val="22"/>
                <w:szCs w:val="22"/>
                <w:lang w:val="en-ZA" w:eastAsia="en-US"/>
              </w:rPr>
            </w:pPr>
            <w:bookmarkStart w:id="5" w:name="_Hlk224205186"/>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w:t>
            </w:r>
            <w:bookmarkEnd w:id="5"/>
            <w:r w:rsidRPr="00D33A1E">
              <w:rPr>
                <w:rFonts w:eastAsia="Aptos" w:cs="Times New Roman"/>
                <w:sz w:val="22"/>
                <w:szCs w:val="22"/>
                <w:lang w:val="en-ZA" w:eastAsia="en-US"/>
              </w:rPr>
              <w:t>16 (1) The health establishment must ensure that healthcare risk waste</w:t>
            </w:r>
            <w:r w:rsidRPr="00D33A1E">
              <w:rPr>
                <w:rFonts w:eastAsia="Aptos" w:cs="Times New Roman"/>
                <w:color w:val="EE0000"/>
                <w:sz w:val="22"/>
                <w:szCs w:val="22"/>
                <w:lang w:val="en-ZA" w:eastAsia="en-US"/>
              </w:rPr>
              <w:t xml:space="preserve"> </w:t>
            </w:r>
            <w:r w:rsidRPr="00D33A1E">
              <w:rPr>
                <w:rFonts w:eastAsia="Aptos" w:cs="Times New Roman"/>
                <w:sz w:val="22"/>
                <w:szCs w:val="22"/>
                <w:lang w:val="en-ZA" w:eastAsia="en-US"/>
              </w:rPr>
              <w:t>and health care general waste is handled, stored and disposed in accordance with the relevant legislation so as not  to pose a risk, hazard or danger to human health and the environment.</w:t>
            </w:r>
          </w:p>
          <w:p w14:paraId="0431446B" w14:textId="77777777" w:rsidR="000D04EF" w:rsidRPr="00D33A1E" w:rsidRDefault="000D04EF" w:rsidP="000D04EF">
            <w:pPr>
              <w:spacing w:line="276" w:lineRule="auto"/>
              <w:rPr>
                <w:rFonts w:eastAsia="Aptos" w:cs="Times New Roman"/>
                <w:sz w:val="22"/>
                <w:szCs w:val="22"/>
                <w:lang w:val="en-ZA" w:eastAsia="en-US"/>
              </w:rPr>
            </w:pPr>
            <w:bookmarkStart w:id="6" w:name="_Hlk224205217"/>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the health establishment must-</w:t>
            </w:r>
            <w:bookmarkEnd w:id="6"/>
          </w:p>
          <w:p w14:paraId="711A77F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establish healthcare waste management team or committee and appoint or designate healthcare waste officers;</w:t>
            </w:r>
          </w:p>
          <w:p w14:paraId="1F7A0AD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(b) where it is classified as a major generator of health care waste, develop and implement a health care waste management plan;</w:t>
            </w:r>
          </w:p>
          <w:p w14:paraId="27FDA89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implement procedures for identification, classification, segregation and minimization of health care waste;</w:t>
            </w:r>
          </w:p>
          <w:p w14:paraId="4939EA05"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 xml:space="preserve">(d) have appropriate waste containers at the point of waste generation; </w:t>
            </w:r>
          </w:p>
          <w:p w14:paraId="4DD3A5FF"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(e) establish and maintain intermediate and central storage areas for health care risk waste storage;</w:t>
            </w:r>
          </w:p>
          <w:p w14:paraId="4B93FBDB"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(f) establish and maintain storage areas for general health care waste;</w:t>
            </w:r>
          </w:p>
          <w:p w14:paraId="0731E0B2"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(g) implement procedures for collection, handling, packaging/storage, labelling/recording, transportation and /destruction/disposal of health care waste and health care general waste;</w:t>
            </w:r>
          </w:p>
          <w:p w14:paraId="1F85C1DE"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(i) implement security measures to protect and safeguard anatomical waste;</w:t>
            </w:r>
          </w:p>
          <w:p w14:paraId="696B13C6"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(k) implement procedures for safe disposal of sharps;</w:t>
            </w:r>
          </w:p>
          <w:p w14:paraId="4BE280A0"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(l) monitor the performance of the health care risk waste and health care general waste removal services; and</w:t>
            </w:r>
          </w:p>
          <w:p w14:paraId="4B6D50F7" w14:textId="77777777" w:rsidR="000D04EF" w:rsidRPr="00D33A1E" w:rsidRDefault="000D04EF" w:rsidP="000D04EF">
            <w:pPr>
              <w:spacing w:line="259" w:lineRule="auto"/>
              <w:rPr>
                <w:rFonts w:eastAsia="Aptos" w:cs="Arial"/>
                <w:b/>
                <w:bCs/>
                <w:lang w:eastAsia="en-US"/>
              </w:rPr>
            </w:pPr>
            <w:r w:rsidRPr="00D33A1E">
              <w:rPr>
                <w:rFonts w:eastAsia="Aptos" w:cs="Times New Roman"/>
                <w:sz w:val="22"/>
                <w:szCs w:val="22"/>
                <w:lang w:val="en-US" w:eastAsia="en-US"/>
              </w:rPr>
              <w:t>(I) have procedures for safe management and disposal of radioactive and hazardous waste which is aligned to applicable legislation.</w:t>
            </w:r>
          </w:p>
        </w:tc>
        <w:tc>
          <w:tcPr>
            <w:tcW w:w="4536" w:type="dxa"/>
          </w:tcPr>
          <w:p w14:paraId="3BC80193" w14:textId="77777777" w:rsidR="000D04EF" w:rsidRPr="00D33A1E" w:rsidRDefault="000D04EF" w:rsidP="000D04EF">
            <w:pPr>
              <w:rPr>
                <w:rFonts w:eastAsia="Aptos" w:cs="Arial"/>
                <w:lang w:eastAsia="en-US"/>
              </w:rPr>
            </w:pPr>
          </w:p>
        </w:tc>
        <w:tc>
          <w:tcPr>
            <w:tcW w:w="4961" w:type="dxa"/>
          </w:tcPr>
          <w:p w14:paraId="02F1492F" w14:textId="77777777" w:rsidR="000D04EF" w:rsidRPr="00D33A1E" w:rsidRDefault="000D04EF" w:rsidP="000D04EF">
            <w:pPr>
              <w:rPr>
                <w:rFonts w:eastAsia="Aptos" w:cs="Arial"/>
                <w:lang w:eastAsia="en-US"/>
              </w:rPr>
            </w:pPr>
          </w:p>
        </w:tc>
      </w:tr>
      <w:tr w:rsidR="000D04EF" w:rsidRPr="00D33A1E" w14:paraId="554F412D" w14:textId="77777777" w:rsidTr="00326018">
        <w:tc>
          <w:tcPr>
            <w:tcW w:w="5382" w:type="dxa"/>
          </w:tcPr>
          <w:p w14:paraId="4A9C9598" w14:textId="77777777" w:rsidR="000D04EF" w:rsidRPr="00D33A1E" w:rsidRDefault="000D04EF" w:rsidP="000D04EF">
            <w:pPr>
              <w:spacing w:after="120" w:line="276" w:lineRule="auto"/>
              <w:rPr>
                <w:rFonts w:eastAsia="Aptos" w:cs="Arial"/>
                <w:b/>
                <w:bCs/>
                <w:lang w:eastAsia="en-US"/>
              </w:rPr>
            </w:pPr>
            <w:r w:rsidRPr="00D33A1E">
              <w:rPr>
                <w:rFonts w:eastAsia="Aptos" w:cs="Times New Roman"/>
                <w:b/>
                <w:bCs/>
                <w:sz w:val="22"/>
                <w:szCs w:val="22"/>
                <w:lang w:val="en-ZA" w:eastAsia="en-US"/>
              </w:rPr>
              <w:t>CHAPTER 4: HEALTH OUTCOMES MEASUREMENT AND LEARNING SYSTEMS</w:t>
            </w:r>
          </w:p>
        </w:tc>
        <w:tc>
          <w:tcPr>
            <w:tcW w:w="4536" w:type="dxa"/>
          </w:tcPr>
          <w:p w14:paraId="7423B76A" w14:textId="77777777" w:rsidR="000D04EF" w:rsidRPr="00D33A1E" w:rsidRDefault="000D04EF" w:rsidP="000D04EF">
            <w:pPr>
              <w:rPr>
                <w:rFonts w:eastAsia="Aptos" w:cs="Arial"/>
                <w:lang w:eastAsia="en-US"/>
              </w:rPr>
            </w:pPr>
          </w:p>
        </w:tc>
        <w:tc>
          <w:tcPr>
            <w:tcW w:w="4961" w:type="dxa"/>
          </w:tcPr>
          <w:p w14:paraId="19405D7D" w14:textId="77777777" w:rsidR="000D04EF" w:rsidRPr="00D33A1E" w:rsidRDefault="000D04EF" w:rsidP="000D04EF">
            <w:pPr>
              <w:rPr>
                <w:rFonts w:eastAsia="Aptos" w:cs="Arial"/>
                <w:lang w:eastAsia="en-US"/>
              </w:rPr>
            </w:pPr>
          </w:p>
        </w:tc>
      </w:tr>
      <w:tr w:rsidR="000D04EF" w:rsidRPr="00D33A1E" w14:paraId="79045D63" w14:textId="77777777" w:rsidTr="00326018">
        <w:tc>
          <w:tcPr>
            <w:tcW w:w="5382" w:type="dxa"/>
          </w:tcPr>
          <w:p w14:paraId="5C844119"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lastRenderedPageBreak/>
              <w:t>Regulation title: 17  Health Outcomes Monitoring and Reporting</w:t>
            </w:r>
          </w:p>
          <w:p w14:paraId="58C24F8C"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17 </w:t>
            </w:r>
            <w:r w:rsidRPr="00D33A1E">
              <w:rPr>
                <w:rFonts w:eastAsia="Aptos" w:cs="Times New Roman"/>
                <w:color w:val="000000"/>
                <w:sz w:val="22"/>
                <w:szCs w:val="22"/>
                <w:lang w:val="en-ZA" w:eastAsia="en-US"/>
              </w:rPr>
              <w:t>(1) The health establishment must systematically monitor, analyse and report clinical outcomes for its level of care in accordance with national priorities as part of the health system performance measurement.</w:t>
            </w:r>
          </w:p>
          <w:p w14:paraId="3172842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the health establishment must-</w:t>
            </w:r>
          </w:p>
          <w:p w14:paraId="114595C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a framework that guides monitoring of health outcome indicators, data sources, and review cycles;</w:t>
            </w:r>
          </w:p>
          <w:p w14:paraId="358FCE8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develop and implement systems and mechanisms for monitoring, analysing and reporting health outcomes applicable to the level of care;</w:t>
            </w:r>
          </w:p>
          <w:p w14:paraId="68F4009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identify and implement corrective actions to improve health outcomes; </w:t>
            </w:r>
          </w:p>
          <w:p w14:paraId="73C6927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submit the required health outcomes information to relevant authority; and</w:t>
            </w:r>
          </w:p>
          <w:p w14:paraId="23EEC11E"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(e) provide feedback to healthcare personnel on health outcomes performance and implement interventions to improve, where required.</w:t>
            </w:r>
          </w:p>
        </w:tc>
        <w:tc>
          <w:tcPr>
            <w:tcW w:w="4536" w:type="dxa"/>
          </w:tcPr>
          <w:p w14:paraId="1973718B" w14:textId="77777777" w:rsidR="000D04EF" w:rsidRPr="00D33A1E" w:rsidRDefault="000D04EF" w:rsidP="000D04EF">
            <w:pPr>
              <w:rPr>
                <w:rFonts w:eastAsia="Aptos" w:cs="Arial"/>
                <w:lang w:eastAsia="en-US"/>
              </w:rPr>
            </w:pPr>
          </w:p>
        </w:tc>
        <w:tc>
          <w:tcPr>
            <w:tcW w:w="4961" w:type="dxa"/>
          </w:tcPr>
          <w:p w14:paraId="7CD7AC92" w14:textId="77777777" w:rsidR="000D04EF" w:rsidRPr="00D33A1E" w:rsidRDefault="000D04EF" w:rsidP="000D04EF">
            <w:pPr>
              <w:rPr>
                <w:rFonts w:eastAsia="Aptos" w:cs="Arial"/>
                <w:lang w:eastAsia="en-US"/>
              </w:rPr>
            </w:pPr>
          </w:p>
        </w:tc>
      </w:tr>
      <w:tr w:rsidR="000D04EF" w:rsidRPr="00D33A1E" w14:paraId="45EAD79F" w14:textId="77777777" w:rsidTr="00326018">
        <w:tc>
          <w:tcPr>
            <w:tcW w:w="5382" w:type="dxa"/>
          </w:tcPr>
          <w:p w14:paraId="377FA503"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 xml:space="preserve">Regulation title: 18  Patient Reported Outcomes Measurements (PROMS) </w:t>
            </w:r>
          </w:p>
          <w:p w14:paraId="36EA3C4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18 </w:t>
            </w:r>
            <w:r w:rsidRPr="00D33A1E">
              <w:rPr>
                <w:rFonts w:eastAsia="Aptos" w:cs="Times New Roman"/>
                <w:sz w:val="22"/>
                <w:szCs w:val="22"/>
                <w:lang w:val="en-ZA" w:eastAsia="en-US"/>
              </w:rPr>
              <w:t xml:space="preserve">(1) The health establishment must obtain, analyse and report standardised patient-reported outcome measures to </w:t>
            </w:r>
            <w:r w:rsidRPr="00D33A1E">
              <w:rPr>
                <w:rFonts w:eastAsia="Aptos" w:cs="Times New Roman"/>
                <w:sz w:val="22"/>
                <w:szCs w:val="22"/>
                <w:lang w:val="en-ZA" w:eastAsia="en-US"/>
              </w:rPr>
              <w:lastRenderedPageBreak/>
              <w:t>facilitate provision of healthcare that promotes a patient centred care model.</w:t>
            </w:r>
          </w:p>
          <w:p w14:paraId="531767F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Sub-regulation statements: (2) For the purposes of sub-regulation (1), the health establishment must-</w:t>
            </w:r>
          </w:p>
          <w:p w14:paraId="43FCC92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develop and implement systems and mechanisms for monitoring, analysing and reporting patient-reported outcomes;</w:t>
            </w:r>
          </w:p>
          <w:p w14:paraId="53BD7CC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identify and implement corrective actions to improve patient-reported outcomes; and</w:t>
            </w:r>
          </w:p>
          <w:p w14:paraId="27691DE3" w14:textId="77777777" w:rsidR="000D04EF" w:rsidRPr="00D33A1E" w:rsidRDefault="000D04EF" w:rsidP="000D04EF">
            <w:pPr>
              <w:rPr>
                <w:rFonts w:eastAsia="Aptos" w:cs="Arial"/>
                <w:b/>
                <w:bCs/>
                <w:lang w:eastAsia="en-US"/>
              </w:rPr>
            </w:pPr>
            <w:r w:rsidRPr="00D33A1E">
              <w:rPr>
                <w:rFonts w:eastAsia="Aptos" w:cs="Times New Roman"/>
                <w:sz w:val="22"/>
                <w:szCs w:val="22"/>
                <w:lang w:val="en-ZA" w:eastAsia="en-US"/>
              </w:rPr>
              <w:t>(c) submit the required patient-reported outcome measures to the relevant authority.</w:t>
            </w:r>
          </w:p>
        </w:tc>
        <w:tc>
          <w:tcPr>
            <w:tcW w:w="4536" w:type="dxa"/>
          </w:tcPr>
          <w:p w14:paraId="06AC5267" w14:textId="77777777" w:rsidR="000D04EF" w:rsidRPr="00D33A1E" w:rsidRDefault="000D04EF" w:rsidP="000D04EF">
            <w:pPr>
              <w:rPr>
                <w:rFonts w:eastAsia="Aptos" w:cs="Arial"/>
                <w:lang w:eastAsia="en-US"/>
              </w:rPr>
            </w:pPr>
          </w:p>
        </w:tc>
        <w:tc>
          <w:tcPr>
            <w:tcW w:w="4961" w:type="dxa"/>
          </w:tcPr>
          <w:p w14:paraId="1BE1F118" w14:textId="77777777" w:rsidR="000D04EF" w:rsidRPr="00D33A1E" w:rsidRDefault="000D04EF" w:rsidP="000D04EF">
            <w:pPr>
              <w:rPr>
                <w:rFonts w:eastAsia="Aptos" w:cs="Arial"/>
                <w:lang w:eastAsia="en-US"/>
              </w:rPr>
            </w:pPr>
          </w:p>
        </w:tc>
      </w:tr>
      <w:tr w:rsidR="000D04EF" w:rsidRPr="00D33A1E" w14:paraId="168113C6" w14:textId="77777777" w:rsidTr="00326018">
        <w:tc>
          <w:tcPr>
            <w:tcW w:w="5382" w:type="dxa"/>
          </w:tcPr>
          <w:p w14:paraId="5D5EC78D" w14:textId="77777777" w:rsidR="000D04EF" w:rsidRPr="00D33A1E" w:rsidRDefault="000D04EF" w:rsidP="001508BD">
            <w:pPr>
              <w:spacing w:line="276" w:lineRule="auto"/>
              <w:rPr>
                <w:rFonts w:eastAsia="Aptos" w:cs="Arial"/>
                <w:b/>
                <w:bCs/>
                <w:lang w:eastAsia="en-US"/>
              </w:rPr>
            </w:pPr>
            <w:r w:rsidRPr="00D33A1E">
              <w:rPr>
                <w:rFonts w:eastAsia="Aptos" w:cs="Times New Roman"/>
                <w:b/>
                <w:bCs/>
                <w:sz w:val="22"/>
                <w:szCs w:val="22"/>
                <w:lang w:val="en-ZA" w:eastAsia="en-US"/>
              </w:rPr>
              <w:t>CHAPTER 5: SPECIALISED CLINICAL CARE SERVICES</w:t>
            </w:r>
          </w:p>
        </w:tc>
        <w:tc>
          <w:tcPr>
            <w:tcW w:w="4536" w:type="dxa"/>
          </w:tcPr>
          <w:p w14:paraId="181A4F6E" w14:textId="77777777" w:rsidR="000D04EF" w:rsidRPr="00D33A1E" w:rsidRDefault="000D04EF" w:rsidP="000D04EF">
            <w:pPr>
              <w:rPr>
                <w:rFonts w:eastAsia="Aptos" w:cs="Arial"/>
                <w:lang w:eastAsia="en-US"/>
              </w:rPr>
            </w:pPr>
          </w:p>
        </w:tc>
        <w:tc>
          <w:tcPr>
            <w:tcW w:w="4961" w:type="dxa"/>
          </w:tcPr>
          <w:p w14:paraId="4465F552" w14:textId="77777777" w:rsidR="000D04EF" w:rsidRPr="00D33A1E" w:rsidRDefault="000D04EF" w:rsidP="000D04EF">
            <w:pPr>
              <w:rPr>
                <w:rFonts w:eastAsia="Aptos" w:cs="Arial"/>
                <w:lang w:eastAsia="en-US"/>
              </w:rPr>
            </w:pPr>
          </w:p>
        </w:tc>
      </w:tr>
      <w:tr w:rsidR="000D04EF" w:rsidRPr="00D33A1E" w14:paraId="3FD27F37" w14:textId="77777777" w:rsidTr="00326018">
        <w:tc>
          <w:tcPr>
            <w:tcW w:w="5382" w:type="dxa"/>
          </w:tcPr>
          <w:p w14:paraId="70E04341" w14:textId="77777777" w:rsidR="000D04EF" w:rsidRPr="00D33A1E" w:rsidRDefault="000D04EF" w:rsidP="000D04EF">
            <w:pPr>
              <w:rPr>
                <w:rFonts w:eastAsia="Aptos" w:cs="Times New Roman"/>
                <w:b/>
                <w:bCs/>
                <w:sz w:val="22"/>
                <w:szCs w:val="22"/>
                <w:lang w:val="en-ZA" w:eastAsia="en-US"/>
              </w:rPr>
            </w:pPr>
            <w:r w:rsidRPr="00D33A1E">
              <w:rPr>
                <w:rFonts w:eastAsia="Aptos" w:cs="Times New Roman"/>
                <w:b/>
                <w:bCs/>
                <w:sz w:val="22"/>
                <w:szCs w:val="22"/>
                <w:lang w:val="en-ZA" w:eastAsia="en-US"/>
              </w:rPr>
              <w:t xml:space="preserve">Regulation title: 19 Renal Services </w:t>
            </w:r>
          </w:p>
          <w:p w14:paraId="66811AE2" w14:textId="77777777" w:rsidR="000D04EF" w:rsidRPr="00D33A1E" w:rsidRDefault="000D04EF" w:rsidP="000D04EF">
            <w:pPr>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19 (1) The health establishment must  provide safe, life sustaining specialist medical care and treatment  in line with its package of services in order to manage complex medical conditions and promote quality of life.</w:t>
            </w:r>
          </w:p>
          <w:p w14:paraId="01F13D20" w14:textId="77777777" w:rsidR="000D04EF" w:rsidRPr="00D33A1E" w:rsidRDefault="000D04EF" w:rsidP="000D04EF">
            <w:pPr>
              <w:spacing w:line="276" w:lineRule="auto"/>
              <w:rPr>
                <w:rFonts w:eastAsia="Aptos" w:cs="Times New Roman"/>
                <w:sz w:val="22"/>
                <w:szCs w:val="22"/>
                <w:lang w:val="en-US" w:eastAsia="en-US"/>
              </w:rPr>
            </w:pPr>
            <w:r w:rsidRPr="00D33A1E">
              <w:rPr>
                <w:rFonts w:eastAsia="Aptos" w:cs="Times New Roman"/>
                <w:b/>
                <w:bCs/>
                <w:sz w:val="22"/>
                <w:szCs w:val="22"/>
                <w:lang w:val="en-US" w:eastAsia="en-US"/>
              </w:rPr>
              <w:t>Sub-Regulation Statement:</w:t>
            </w:r>
            <w:r w:rsidRPr="00D33A1E">
              <w:rPr>
                <w:rFonts w:eastAsia="Aptos" w:cs="Times New Roman"/>
                <w:sz w:val="22"/>
                <w:szCs w:val="22"/>
                <w:lang w:val="en-US" w:eastAsia="en-US"/>
              </w:rPr>
              <w:t xml:space="preserve"> (2) For the purposes of sub-regulation a (1), a health establishment or renal dialysis services must-</w:t>
            </w:r>
          </w:p>
          <w:p w14:paraId="1EC2B31E"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(a) be licensed to provide renal services by the relevant authority in accordance with applicable regulatory requirements;</w:t>
            </w:r>
          </w:p>
          <w:p w14:paraId="2E5E4C1C"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(b) designate a recipient transplant nurse facilitator for the service;</w:t>
            </w:r>
          </w:p>
          <w:p w14:paraId="729AA037" w14:textId="087102EC"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lastRenderedPageBreak/>
              <w:t>(c) have protocols and procedures to guide and manage the delivery of safe renal dialysis services aligned to nationally or globally approved guidelines;</w:t>
            </w:r>
          </w:p>
          <w:p w14:paraId="31015A36" w14:textId="77777777"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(d) have access to multidisciplinary support services, including dietetic, psychosocial, and other relevant services,</w:t>
            </w:r>
            <w:r w:rsidRPr="00D33A1E">
              <w:rPr>
                <w:rFonts w:eastAsia="Aptos" w:cs="Aptos"/>
                <w:color w:val="FF0000"/>
                <w:sz w:val="22"/>
                <w:szCs w:val="22"/>
                <w:lang w:val="en-US" w:eastAsia="en-US"/>
              </w:rPr>
              <w:t xml:space="preserve"> </w:t>
            </w:r>
            <w:r w:rsidRPr="00D33A1E">
              <w:rPr>
                <w:rFonts w:eastAsia="Aptos" w:cs="Times New Roman"/>
                <w:sz w:val="22"/>
                <w:szCs w:val="22"/>
                <w:lang w:val="en-US" w:eastAsia="en-US"/>
              </w:rPr>
              <w:t>to address the users’ needs holistically;</w:t>
            </w:r>
          </w:p>
          <w:p w14:paraId="1BEEA9C1" w14:textId="1DC6CB14" w:rsidR="000D04EF" w:rsidRPr="00D33A1E" w:rsidRDefault="000D04EF" w:rsidP="000D04EF">
            <w:pPr>
              <w:spacing w:line="259" w:lineRule="auto"/>
              <w:rPr>
                <w:rFonts w:eastAsia="Aptos" w:cs="Times New Roman"/>
                <w:sz w:val="22"/>
                <w:szCs w:val="22"/>
                <w:lang w:val="en-US" w:eastAsia="en-US"/>
              </w:rPr>
            </w:pPr>
            <w:r w:rsidRPr="00D33A1E">
              <w:rPr>
                <w:rFonts w:eastAsia="Aptos" w:cs="Times New Roman"/>
                <w:sz w:val="22"/>
                <w:szCs w:val="22"/>
                <w:lang w:val="en-US" w:eastAsia="en-US"/>
              </w:rPr>
              <w:t xml:space="preserve">(e) have access to specialist services (vascular surgeon or surgeon) for the management of dialysis access and complications; </w:t>
            </w:r>
            <w:r w:rsidR="00795D11">
              <w:rPr>
                <w:rFonts w:eastAsia="Aptos" w:cs="Times New Roman"/>
                <w:sz w:val="22"/>
                <w:szCs w:val="22"/>
                <w:lang w:val="en-US" w:eastAsia="en-US"/>
              </w:rPr>
              <w:t>and</w:t>
            </w:r>
          </w:p>
          <w:p w14:paraId="2DF30650" w14:textId="77777777" w:rsidR="000D04EF" w:rsidRPr="00D33A1E" w:rsidRDefault="000D04EF" w:rsidP="000D04EF">
            <w:pPr>
              <w:spacing w:line="259" w:lineRule="auto"/>
              <w:rPr>
                <w:rFonts w:eastAsia="Aptos" w:cs="Arial"/>
                <w:b/>
                <w:bCs/>
                <w:lang w:eastAsia="en-US"/>
              </w:rPr>
            </w:pPr>
            <w:r w:rsidRPr="00D33A1E">
              <w:rPr>
                <w:rFonts w:eastAsia="Aptos" w:cs="Times New Roman"/>
                <w:sz w:val="22"/>
                <w:szCs w:val="22"/>
                <w:lang w:val="en-US" w:eastAsia="en-US"/>
              </w:rPr>
              <w:t>(f) establish an assessment/transplant committee for chronic dialysis and transplantation where rationing of services is implemented.</w:t>
            </w:r>
          </w:p>
        </w:tc>
        <w:tc>
          <w:tcPr>
            <w:tcW w:w="4536" w:type="dxa"/>
          </w:tcPr>
          <w:p w14:paraId="5F46038D" w14:textId="77777777" w:rsidR="000D04EF" w:rsidRPr="00D33A1E" w:rsidRDefault="000D04EF" w:rsidP="000D04EF">
            <w:pPr>
              <w:rPr>
                <w:rFonts w:eastAsia="Aptos" w:cs="Arial"/>
                <w:lang w:eastAsia="en-US"/>
              </w:rPr>
            </w:pPr>
          </w:p>
        </w:tc>
        <w:tc>
          <w:tcPr>
            <w:tcW w:w="4961" w:type="dxa"/>
          </w:tcPr>
          <w:p w14:paraId="1C0325EC" w14:textId="77777777" w:rsidR="000D04EF" w:rsidRPr="00D33A1E" w:rsidRDefault="000D04EF" w:rsidP="000D04EF">
            <w:pPr>
              <w:rPr>
                <w:rFonts w:eastAsia="Aptos" w:cs="Arial"/>
                <w:lang w:eastAsia="en-US"/>
              </w:rPr>
            </w:pPr>
          </w:p>
        </w:tc>
      </w:tr>
      <w:tr w:rsidR="000D04EF" w:rsidRPr="00D33A1E" w14:paraId="41FC69FC" w14:textId="77777777" w:rsidTr="00326018">
        <w:tc>
          <w:tcPr>
            <w:tcW w:w="5382" w:type="dxa"/>
          </w:tcPr>
          <w:p w14:paraId="09672877" w14:textId="77777777" w:rsidR="000D04EF" w:rsidRPr="00D33A1E" w:rsidRDefault="000D04EF" w:rsidP="000D04EF">
            <w:pPr>
              <w:spacing w:line="276" w:lineRule="auto"/>
              <w:rPr>
                <w:rFonts w:eastAsia="Aptos" w:cs="Times New Roman"/>
                <w:b/>
                <w:bCs/>
                <w:color w:val="000000"/>
                <w:sz w:val="22"/>
                <w:szCs w:val="22"/>
                <w:lang w:val="en-ZA" w:eastAsia="en-US"/>
              </w:rPr>
            </w:pPr>
            <w:r w:rsidRPr="00D33A1E">
              <w:rPr>
                <w:rFonts w:eastAsia="Aptos" w:cs="Times New Roman"/>
                <w:b/>
                <w:bCs/>
                <w:color w:val="000000"/>
                <w:sz w:val="22"/>
                <w:szCs w:val="22"/>
                <w:lang w:val="en-ZA" w:eastAsia="en-US"/>
              </w:rPr>
              <w:t xml:space="preserve">Regulation title: 20 Oncology Services </w:t>
            </w:r>
          </w:p>
          <w:p w14:paraId="55881BA5"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b/>
                <w:bCs/>
                <w:color w:val="000000"/>
                <w:sz w:val="22"/>
                <w:szCs w:val="22"/>
                <w:lang w:val="en-ZA" w:eastAsia="en-US"/>
              </w:rPr>
              <w:t>Regulation statement:</w:t>
            </w:r>
            <w:r w:rsidRPr="00D33A1E">
              <w:rPr>
                <w:rFonts w:eastAsia="Aptos" w:cs="Times New Roman"/>
                <w:color w:val="000000"/>
                <w:sz w:val="22"/>
                <w:szCs w:val="22"/>
                <w:lang w:val="en-ZA" w:eastAsia="en-US"/>
              </w:rPr>
              <w:t xml:space="preserve"> 20 (1) The health establishment must provide comprehensive specialised oncology services focused on the prevention, diagnosis, treatment, rehabilitation and palliative care of users with cancer disease.</w:t>
            </w:r>
          </w:p>
          <w:p w14:paraId="61996E8B" w14:textId="77777777" w:rsidR="000D04EF" w:rsidRPr="00D33A1E" w:rsidRDefault="000D04EF" w:rsidP="000D04EF">
            <w:pPr>
              <w:spacing w:line="276" w:lineRule="auto"/>
              <w:rPr>
                <w:rFonts w:eastAsia="Aptos" w:cs="Times New Roman"/>
                <w:sz w:val="22"/>
                <w:szCs w:val="22"/>
                <w:lang w:val="en-US" w:eastAsia="en-US"/>
              </w:rPr>
            </w:pPr>
            <w:r w:rsidRPr="00D33A1E">
              <w:rPr>
                <w:rFonts w:eastAsia="Aptos" w:cs="Times New Roman"/>
                <w:b/>
                <w:bCs/>
                <w:sz w:val="22"/>
                <w:szCs w:val="22"/>
                <w:lang w:val="en-US" w:eastAsia="en-US"/>
              </w:rPr>
              <w:t>Sub-Regulation Statement:</w:t>
            </w:r>
            <w:r w:rsidRPr="00D33A1E">
              <w:rPr>
                <w:rFonts w:eastAsia="Aptos" w:cs="Times New Roman"/>
                <w:sz w:val="22"/>
                <w:szCs w:val="22"/>
                <w:lang w:val="en-US" w:eastAsia="en-US"/>
              </w:rPr>
              <w:t xml:space="preserve"> (2) For the purposes of sub-regulation a (1), a health establishment must-</w:t>
            </w:r>
          </w:p>
          <w:p w14:paraId="5632B006" w14:textId="77777777" w:rsidR="000D04EF" w:rsidRPr="00D33A1E" w:rsidRDefault="000D04EF" w:rsidP="000D04EF">
            <w:pPr>
              <w:spacing w:line="276" w:lineRule="auto"/>
              <w:rPr>
                <w:rFonts w:eastAsia="Aptos" w:cs="Times New Roman"/>
                <w:sz w:val="22"/>
                <w:szCs w:val="22"/>
                <w:lang w:val="en-US" w:eastAsia="en-US"/>
              </w:rPr>
            </w:pPr>
            <w:r w:rsidRPr="00D33A1E">
              <w:rPr>
                <w:rFonts w:eastAsia="Aptos" w:cs="Times New Roman"/>
                <w:sz w:val="22"/>
                <w:szCs w:val="22"/>
                <w:lang w:val="en-US" w:eastAsia="en-US"/>
              </w:rPr>
              <w:t>(a) document the type of oncology services provided to users;</w:t>
            </w:r>
          </w:p>
          <w:p w14:paraId="7197B4BD" w14:textId="77777777" w:rsidR="000D04EF" w:rsidRPr="00D33A1E" w:rsidRDefault="000D04EF" w:rsidP="000D04EF">
            <w:pPr>
              <w:spacing w:line="276" w:lineRule="auto"/>
              <w:rPr>
                <w:rFonts w:eastAsia="Aptos" w:cs="Times New Roman"/>
                <w:sz w:val="22"/>
                <w:szCs w:val="22"/>
                <w:lang w:val="en-US" w:eastAsia="en-US"/>
              </w:rPr>
            </w:pPr>
            <w:r w:rsidRPr="00D33A1E">
              <w:rPr>
                <w:rFonts w:eastAsia="Aptos" w:cs="Times New Roman"/>
                <w:sz w:val="22"/>
                <w:szCs w:val="22"/>
                <w:lang w:val="en-US" w:eastAsia="en-US"/>
              </w:rPr>
              <w:t>(b) have criteria or systems or mechanisms for admission and discharge of users;</w:t>
            </w:r>
          </w:p>
          <w:p w14:paraId="63FD9957" w14:textId="77777777" w:rsidR="000D04EF" w:rsidRPr="00D33A1E" w:rsidRDefault="000D04EF" w:rsidP="000D04EF">
            <w:pPr>
              <w:spacing w:line="276" w:lineRule="auto"/>
              <w:rPr>
                <w:rFonts w:eastAsia="Aptos" w:cs="Times New Roman"/>
                <w:sz w:val="22"/>
                <w:szCs w:val="22"/>
                <w:lang w:val="en-US" w:eastAsia="en-US"/>
              </w:rPr>
            </w:pPr>
            <w:r w:rsidRPr="00D33A1E">
              <w:rPr>
                <w:rFonts w:eastAsia="Aptos" w:cs="Times New Roman"/>
                <w:sz w:val="22"/>
                <w:szCs w:val="22"/>
                <w:lang w:val="en-US" w:eastAsia="en-US"/>
              </w:rPr>
              <w:t>(c) have systems to monitor users on the waiting list for oncology services;</w:t>
            </w:r>
          </w:p>
          <w:p w14:paraId="12F080FD" w14:textId="77777777" w:rsidR="000D04EF" w:rsidRPr="00D33A1E" w:rsidRDefault="000D04EF" w:rsidP="000D04EF">
            <w:pPr>
              <w:spacing w:line="276" w:lineRule="auto"/>
              <w:rPr>
                <w:rFonts w:eastAsia="Aptos" w:cs="Times New Roman"/>
                <w:sz w:val="22"/>
                <w:szCs w:val="22"/>
                <w:lang w:val="en-US" w:eastAsia="en-US"/>
              </w:rPr>
            </w:pPr>
            <w:r w:rsidRPr="00D33A1E">
              <w:rPr>
                <w:rFonts w:eastAsia="Aptos" w:cs="Times New Roman"/>
                <w:sz w:val="22"/>
                <w:szCs w:val="22"/>
                <w:lang w:val="en-US" w:eastAsia="en-US"/>
              </w:rPr>
              <w:lastRenderedPageBreak/>
              <w:t xml:space="preserve">(d) have specialised medical equipment and medical supplies for treatment and management of users with cancer; and </w:t>
            </w:r>
          </w:p>
          <w:p w14:paraId="2F913058" w14:textId="434371A9"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US" w:eastAsia="en-US"/>
              </w:rPr>
              <w:t>(e) provide psychosocial support to users</w:t>
            </w:r>
            <w:r w:rsidR="00205BD1">
              <w:rPr>
                <w:rFonts w:eastAsia="Aptos" w:cs="Times New Roman"/>
                <w:sz w:val="22"/>
                <w:szCs w:val="22"/>
                <w:lang w:val="en-US" w:eastAsia="en-US"/>
              </w:rPr>
              <w:t xml:space="preserve">, </w:t>
            </w:r>
            <w:r w:rsidRPr="00D33A1E">
              <w:rPr>
                <w:rFonts w:eastAsia="Aptos" w:cs="Times New Roman"/>
                <w:sz w:val="22"/>
                <w:szCs w:val="22"/>
                <w:lang w:val="en-US" w:eastAsia="en-US"/>
              </w:rPr>
              <w:t>family</w:t>
            </w:r>
            <w:r w:rsidR="00205BD1">
              <w:rPr>
                <w:rFonts w:eastAsia="Aptos" w:cs="Times New Roman"/>
                <w:sz w:val="22"/>
                <w:szCs w:val="22"/>
                <w:lang w:val="en-US" w:eastAsia="en-US"/>
              </w:rPr>
              <w:t xml:space="preserve">, </w:t>
            </w:r>
            <w:r w:rsidRPr="00D33A1E">
              <w:rPr>
                <w:rFonts w:eastAsia="Aptos" w:cs="Times New Roman"/>
                <w:sz w:val="22"/>
                <w:szCs w:val="22"/>
                <w:lang w:val="en-US" w:eastAsia="en-US"/>
              </w:rPr>
              <w:t>relatives</w:t>
            </w:r>
            <w:r w:rsidR="00205BD1">
              <w:rPr>
                <w:rFonts w:eastAsia="Aptos" w:cs="Times New Roman"/>
                <w:sz w:val="22"/>
                <w:szCs w:val="22"/>
                <w:lang w:val="en-US" w:eastAsia="en-US"/>
              </w:rPr>
              <w:t xml:space="preserve"> and </w:t>
            </w:r>
            <w:r w:rsidRPr="00D33A1E">
              <w:rPr>
                <w:rFonts w:eastAsia="Aptos" w:cs="Times New Roman"/>
                <w:sz w:val="22"/>
                <w:szCs w:val="22"/>
                <w:lang w:val="en-US" w:eastAsia="en-US"/>
              </w:rPr>
              <w:t>support persons.</w:t>
            </w:r>
          </w:p>
        </w:tc>
        <w:tc>
          <w:tcPr>
            <w:tcW w:w="4536" w:type="dxa"/>
          </w:tcPr>
          <w:p w14:paraId="6FF86FEA" w14:textId="77777777" w:rsidR="000D04EF" w:rsidRPr="00D33A1E" w:rsidRDefault="000D04EF" w:rsidP="000D04EF">
            <w:pPr>
              <w:rPr>
                <w:rFonts w:eastAsia="Aptos" w:cs="Arial"/>
                <w:lang w:eastAsia="en-US"/>
              </w:rPr>
            </w:pPr>
          </w:p>
        </w:tc>
        <w:tc>
          <w:tcPr>
            <w:tcW w:w="4961" w:type="dxa"/>
          </w:tcPr>
          <w:p w14:paraId="28EA5CF2" w14:textId="77777777" w:rsidR="000D04EF" w:rsidRPr="00D33A1E" w:rsidRDefault="000D04EF" w:rsidP="000D04EF">
            <w:pPr>
              <w:rPr>
                <w:rFonts w:eastAsia="Aptos" w:cs="Arial"/>
                <w:lang w:eastAsia="en-US"/>
              </w:rPr>
            </w:pPr>
          </w:p>
        </w:tc>
      </w:tr>
      <w:tr w:rsidR="000D04EF" w:rsidRPr="00D33A1E" w14:paraId="29388657" w14:textId="77777777" w:rsidTr="00326018">
        <w:tc>
          <w:tcPr>
            <w:tcW w:w="5382" w:type="dxa"/>
          </w:tcPr>
          <w:p w14:paraId="0B7AB99F" w14:textId="77777777" w:rsidR="000D04EF" w:rsidRPr="00D33A1E" w:rsidRDefault="000D04EF" w:rsidP="000D04EF">
            <w:pPr>
              <w:spacing w:line="276" w:lineRule="auto"/>
              <w:rPr>
                <w:rFonts w:eastAsia="Aptos" w:cs="Times New Roman"/>
                <w:b/>
                <w:bCs/>
                <w:color w:val="000000"/>
                <w:sz w:val="22"/>
                <w:szCs w:val="22"/>
                <w:lang w:val="en-ZA" w:eastAsia="en-US"/>
              </w:rPr>
            </w:pPr>
            <w:r w:rsidRPr="00D33A1E">
              <w:rPr>
                <w:rFonts w:eastAsia="Aptos" w:cs="Times New Roman"/>
                <w:b/>
                <w:bCs/>
                <w:color w:val="000000"/>
                <w:sz w:val="22"/>
                <w:szCs w:val="22"/>
                <w:lang w:val="en-ZA" w:eastAsia="en-US"/>
              </w:rPr>
              <w:t xml:space="preserve">Regulation title: 21 School Health Services </w:t>
            </w:r>
          </w:p>
          <w:p w14:paraId="7E2FD0C4" w14:textId="3E22D4BF"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b/>
                <w:bCs/>
                <w:color w:val="000000"/>
                <w:sz w:val="22"/>
                <w:szCs w:val="22"/>
                <w:lang w:val="en-ZA" w:eastAsia="en-US"/>
              </w:rPr>
              <w:t>Regulation statement:</w:t>
            </w:r>
            <w:r w:rsidRPr="00D33A1E">
              <w:rPr>
                <w:rFonts w:eastAsia="Aptos" w:cs="Times New Roman"/>
                <w:color w:val="000000"/>
                <w:sz w:val="22"/>
                <w:szCs w:val="22"/>
                <w:lang w:val="en-ZA" w:eastAsia="en-US"/>
              </w:rPr>
              <w:t xml:space="preserve"> 21 (1) An integrated school health program focusing on prevention of disease</w:t>
            </w:r>
            <w:r w:rsidR="007A7A9E">
              <w:rPr>
                <w:rFonts w:eastAsia="Aptos" w:cs="Times New Roman"/>
                <w:color w:val="000000"/>
                <w:sz w:val="22"/>
                <w:szCs w:val="22"/>
                <w:lang w:val="en-ZA" w:eastAsia="en-US"/>
              </w:rPr>
              <w:t>,</w:t>
            </w:r>
            <w:r w:rsidR="00615A0E">
              <w:rPr>
                <w:rFonts w:eastAsia="Aptos" w:cs="Times New Roman"/>
                <w:color w:val="000000"/>
                <w:sz w:val="22"/>
                <w:szCs w:val="22"/>
                <w:lang w:val="en-ZA" w:eastAsia="en-US"/>
              </w:rPr>
              <w:t xml:space="preserve"> </w:t>
            </w:r>
            <w:r w:rsidRPr="00D33A1E">
              <w:rPr>
                <w:rFonts w:eastAsia="Aptos" w:cs="Times New Roman"/>
                <w:color w:val="000000"/>
                <w:sz w:val="22"/>
                <w:szCs w:val="22"/>
                <w:lang w:val="en-ZA" w:eastAsia="en-US"/>
              </w:rPr>
              <w:t>illness and promoting health is implemented by the relevant authority.</w:t>
            </w:r>
          </w:p>
          <w:p w14:paraId="0B68DE66" w14:textId="77777777" w:rsidR="000D04EF" w:rsidRPr="00D33A1E" w:rsidRDefault="000D04EF" w:rsidP="000D04EF">
            <w:pPr>
              <w:spacing w:line="276" w:lineRule="auto"/>
              <w:rPr>
                <w:rFonts w:eastAsia="Aptos" w:cs="Times New Roman"/>
                <w:sz w:val="22"/>
                <w:szCs w:val="22"/>
                <w:lang w:val="en-US" w:eastAsia="en-US"/>
              </w:rPr>
            </w:pPr>
            <w:r w:rsidRPr="00D33A1E">
              <w:rPr>
                <w:rFonts w:eastAsia="Aptos" w:cs="Times New Roman"/>
                <w:b/>
                <w:bCs/>
                <w:color w:val="000000"/>
                <w:sz w:val="22"/>
                <w:szCs w:val="22"/>
                <w:lang w:val="en-ZA" w:eastAsia="en-US"/>
              </w:rPr>
              <w:t>Su</w:t>
            </w:r>
            <w:r w:rsidRPr="00D33A1E">
              <w:rPr>
                <w:rFonts w:eastAsia="Aptos" w:cs="Times New Roman"/>
                <w:b/>
                <w:bCs/>
                <w:sz w:val="22"/>
                <w:szCs w:val="22"/>
                <w:lang w:val="en-US" w:eastAsia="en-US"/>
              </w:rPr>
              <w:t>b-Regulation Statement:</w:t>
            </w:r>
            <w:r w:rsidRPr="00D33A1E">
              <w:rPr>
                <w:rFonts w:eastAsia="Aptos" w:cs="Times New Roman"/>
                <w:sz w:val="22"/>
                <w:szCs w:val="22"/>
                <w:lang w:val="en-US" w:eastAsia="en-US"/>
              </w:rPr>
              <w:t xml:space="preserve"> (2) For the purposes of sub-regulation a (1), the health establishment at the guidance of relevant authority must-</w:t>
            </w:r>
          </w:p>
          <w:p w14:paraId="5128B7CF" w14:textId="74AD79B4" w:rsidR="000D04EF" w:rsidRPr="00D33A1E" w:rsidRDefault="000D04EF" w:rsidP="000D04EF">
            <w:pPr>
              <w:rPr>
                <w:rFonts w:eastAsia="Aptos" w:cs="Times New Roman"/>
                <w:sz w:val="22"/>
                <w:szCs w:val="22"/>
                <w:lang w:val="en-US" w:eastAsia="en-US"/>
              </w:rPr>
            </w:pPr>
            <w:r w:rsidRPr="00D33A1E">
              <w:rPr>
                <w:rFonts w:eastAsia="Aptos" w:cs="Times New Roman"/>
                <w:sz w:val="22"/>
                <w:szCs w:val="22"/>
                <w:lang w:val="en-US" w:eastAsia="en-US"/>
              </w:rPr>
              <w:t>(a) develop and implement an integrated school health program in consultation with department of basic education</w:t>
            </w:r>
            <w:r w:rsidR="00615A0E">
              <w:rPr>
                <w:rFonts w:eastAsia="Aptos" w:cs="Times New Roman"/>
                <w:sz w:val="22"/>
                <w:szCs w:val="22"/>
                <w:lang w:val="en-US" w:eastAsia="en-US"/>
              </w:rPr>
              <w:t xml:space="preserve"> </w:t>
            </w:r>
            <w:r w:rsidRPr="00D33A1E">
              <w:rPr>
                <w:rFonts w:eastAsia="Aptos" w:cs="Times New Roman"/>
                <w:sz w:val="22"/>
                <w:szCs w:val="22"/>
                <w:lang w:val="en-US" w:eastAsia="en-US"/>
              </w:rPr>
              <w:t>and</w:t>
            </w:r>
            <w:r w:rsidRPr="00D33A1E">
              <w:rPr>
                <w:rFonts w:eastAsia="Segoe UI" w:cs="Segoe UI"/>
                <w:sz w:val="21"/>
                <w:szCs w:val="21"/>
                <w:lang w:val="en-US" w:eastAsia="en-US"/>
              </w:rPr>
              <w:t xml:space="preserve"> </w:t>
            </w:r>
            <w:r w:rsidRPr="00D33A1E">
              <w:rPr>
                <w:rFonts w:eastAsia="Segoe UI" w:cs="Segoe UI"/>
                <w:sz w:val="22"/>
                <w:szCs w:val="22"/>
                <w:lang w:val="en-US" w:eastAsia="en-US"/>
              </w:rPr>
              <w:t>other relevant stakeholders;</w:t>
            </w:r>
          </w:p>
          <w:p w14:paraId="2220685A" w14:textId="77777777" w:rsidR="000D04EF" w:rsidRPr="00D33A1E" w:rsidRDefault="000D04EF" w:rsidP="000D04EF">
            <w:pPr>
              <w:rPr>
                <w:rFonts w:eastAsia="Segoe UI" w:cs="Segoe UI"/>
                <w:sz w:val="22"/>
                <w:szCs w:val="22"/>
                <w:lang w:val="en-US" w:eastAsia="en-US"/>
              </w:rPr>
            </w:pPr>
            <w:r w:rsidRPr="00D33A1E">
              <w:rPr>
                <w:rFonts w:eastAsia="Segoe UI" w:cs="Segoe UI"/>
                <w:sz w:val="22"/>
                <w:szCs w:val="22"/>
                <w:lang w:val="en-US" w:eastAsia="en-US"/>
              </w:rPr>
              <w:t>(b) ensure compliance with child protection legislation, safeguarding policies and mandatory reporting requirements; and</w:t>
            </w:r>
          </w:p>
          <w:p w14:paraId="50500A9A" w14:textId="77777777" w:rsidR="000D04EF" w:rsidRPr="00D33A1E" w:rsidRDefault="000D04EF" w:rsidP="000D04EF">
            <w:pPr>
              <w:rPr>
                <w:rFonts w:eastAsia="Aptos" w:cs="Arial"/>
                <w:b/>
                <w:bCs/>
                <w:lang w:eastAsia="en-US"/>
              </w:rPr>
            </w:pPr>
            <w:r w:rsidRPr="00D33A1E">
              <w:rPr>
                <w:rFonts w:eastAsia="Aptos" w:cs="Times New Roman"/>
                <w:sz w:val="22"/>
                <w:szCs w:val="22"/>
                <w:lang w:val="en-US" w:eastAsia="en-US"/>
              </w:rPr>
              <w:t>(c) monitor the implementation of the school health program.</w:t>
            </w:r>
          </w:p>
        </w:tc>
        <w:tc>
          <w:tcPr>
            <w:tcW w:w="4536" w:type="dxa"/>
          </w:tcPr>
          <w:p w14:paraId="29B3A1D8" w14:textId="77777777" w:rsidR="000D04EF" w:rsidRPr="00D33A1E" w:rsidRDefault="000D04EF" w:rsidP="000D04EF">
            <w:pPr>
              <w:rPr>
                <w:rFonts w:eastAsia="Aptos" w:cs="Arial"/>
                <w:lang w:eastAsia="en-US"/>
              </w:rPr>
            </w:pPr>
          </w:p>
        </w:tc>
        <w:tc>
          <w:tcPr>
            <w:tcW w:w="4961" w:type="dxa"/>
          </w:tcPr>
          <w:p w14:paraId="6B54A486" w14:textId="77777777" w:rsidR="000D04EF" w:rsidRPr="00D33A1E" w:rsidRDefault="000D04EF" w:rsidP="000D04EF">
            <w:pPr>
              <w:rPr>
                <w:rFonts w:eastAsia="Aptos" w:cs="Arial"/>
                <w:lang w:eastAsia="en-US"/>
              </w:rPr>
            </w:pPr>
          </w:p>
        </w:tc>
      </w:tr>
      <w:tr w:rsidR="000D04EF" w:rsidRPr="00D33A1E" w14:paraId="5BEBB05C" w14:textId="77777777" w:rsidTr="00326018">
        <w:tc>
          <w:tcPr>
            <w:tcW w:w="5382" w:type="dxa"/>
          </w:tcPr>
          <w:p w14:paraId="7886938A" w14:textId="77777777" w:rsidR="000D04EF" w:rsidRPr="00D33A1E" w:rsidRDefault="000D04EF" w:rsidP="000D04EF">
            <w:pPr>
              <w:spacing w:line="276" w:lineRule="auto"/>
              <w:rPr>
                <w:rFonts w:eastAsia="Aptos" w:cs="Times New Roman"/>
                <w:b/>
                <w:bCs/>
                <w:color w:val="000000"/>
                <w:sz w:val="22"/>
                <w:szCs w:val="22"/>
                <w:lang w:val="en-ZA" w:eastAsia="en-US"/>
              </w:rPr>
            </w:pPr>
            <w:r w:rsidRPr="00D33A1E">
              <w:rPr>
                <w:rFonts w:eastAsia="Aptos" w:cs="Times New Roman"/>
                <w:b/>
                <w:bCs/>
                <w:color w:val="000000"/>
                <w:sz w:val="22"/>
                <w:szCs w:val="22"/>
                <w:lang w:val="en-ZA" w:eastAsia="en-US"/>
              </w:rPr>
              <w:t>Regulation title : 22 Tuberculosis Prevention and Management Services</w:t>
            </w:r>
          </w:p>
          <w:p w14:paraId="5DD71077"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b/>
                <w:bCs/>
                <w:color w:val="000000"/>
                <w:kern w:val="0"/>
                <w:sz w:val="22"/>
                <w:szCs w:val="22"/>
                <w:lang w:val="en-ZA" w:eastAsia="en-US"/>
              </w:rPr>
              <w:t>Regulation statement:</w:t>
            </w:r>
            <w:r w:rsidRPr="00D33A1E">
              <w:rPr>
                <w:rFonts w:eastAsia="Aptos" w:cs="Arial"/>
                <w:color w:val="000000"/>
                <w:kern w:val="0"/>
                <w:sz w:val="22"/>
                <w:szCs w:val="22"/>
                <w:lang w:val="en-ZA" w:eastAsia="en-US"/>
              </w:rPr>
              <w:t xml:space="preserve"> 22 (1) The health establishment must support the prevention, diagnosis and provision of treatment for tuberculosis in accordance with specific guidelines.</w:t>
            </w:r>
          </w:p>
          <w:p w14:paraId="1E9F7E79"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eastAsia="en-US"/>
              </w:rPr>
            </w:pPr>
            <w:r w:rsidRPr="00D33A1E">
              <w:rPr>
                <w:rFonts w:eastAsia="Aptos" w:cs="Arial"/>
                <w:b/>
                <w:bCs/>
                <w:color w:val="000000"/>
                <w:kern w:val="0"/>
                <w:sz w:val="22"/>
                <w:szCs w:val="22"/>
                <w:lang w:eastAsia="en-US"/>
              </w:rPr>
              <w:lastRenderedPageBreak/>
              <w:t xml:space="preserve">Sub-Regulation Statement: </w:t>
            </w:r>
            <w:r w:rsidRPr="00D33A1E">
              <w:rPr>
                <w:rFonts w:eastAsia="Aptos" w:cs="Arial"/>
                <w:color w:val="000000"/>
                <w:kern w:val="0"/>
                <w:sz w:val="22"/>
                <w:szCs w:val="22"/>
                <w:lang w:eastAsia="en-US"/>
              </w:rPr>
              <w:t>(2)</w:t>
            </w:r>
            <w:r w:rsidRPr="00D33A1E">
              <w:rPr>
                <w:rFonts w:eastAsia="Aptos" w:cs="Arial"/>
                <w:b/>
                <w:bCs/>
                <w:color w:val="000000"/>
                <w:kern w:val="0"/>
                <w:sz w:val="22"/>
                <w:szCs w:val="22"/>
                <w:lang w:eastAsia="en-US"/>
              </w:rPr>
              <w:t xml:space="preserve"> </w:t>
            </w:r>
            <w:r w:rsidRPr="00D33A1E">
              <w:rPr>
                <w:rFonts w:eastAsia="Aptos" w:cs="Arial"/>
                <w:color w:val="000000"/>
                <w:kern w:val="0"/>
                <w:sz w:val="22"/>
                <w:szCs w:val="22"/>
                <w:lang w:eastAsia="en-US"/>
              </w:rPr>
              <w:t>For the purpose of sub-regulation (1), a health establishment must-</w:t>
            </w:r>
          </w:p>
          <w:p w14:paraId="67C3A83E"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t>(a) conduct and monitor diagnostic tests in line with the applicable guidelines;</w:t>
            </w:r>
          </w:p>
          <w:p w14:paraId="581A4CE1"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eastAsia="en-US"/>
              </w:rPr>
            </w:pPr>
            <w:r w:rsidRPr="00D33A1E">
              <w:rPr>
                <w:rFonts w:eastAsia="Aptos" w:cs="Arial"/>
                <w:color w:val="000000"/>
                <w:kern w:val="0"/>
                <w:sz w:val="22"/>
                <w:szCs w:val="22"/>
                <w:lang w:eastAsia="en-US"/>
              </w:rPr>
              <w:t>(b) develop and implement a specific tuberculosis infection control management plan;</w:t>
            </w:r>
          </w:p>
          <w:p w14:paraId="04044555"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t xml:space="preserve">(c) align with the tuberculosis decentralisation model, have directly observed tuberculosis treatment provided in the health establishment and or in the community or refer the user to the relevant service area; </w:t>
            </w:r>
          </w:p>
          <w:p w14:paraId="32E48F71"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t>(d) have systems to monitor users who are on treatment and to follow up users who are non-compliant with treatment or are lost to follow up; and</w:t>
            </w:r>
          </w:p>
          <w:p w14:paraId="055FB96C" w14:textId="77777777" w:rsidR="000D04EF" w:rsidRPr="00D33A1E" w:rsidRDefault="000D04EF" w:rsidP="000D04EF">
            <w:pPr>
              <w:spacing w:line="276" w:lineRule="auto"/>
              <w:rPr>
                <w:rFonts w:eastAsia="Aptos" w:cs="Arial"/>
                <w:b/>
                <w:bCs/>
                <w:lang w:eastAsia="en-US"/>
              </w:rPr>
            </w:pPr>
            <w:r w:rsidRPr="00D33A1E">
              <w:rPr>
                <w:rFonts w:eastAsia="Aptos" w:cs="Times New Roman"/>
                <w:color w:val="000000"/>
                <w:sz w:val="22"/>
                <w:szCs w:val="22"/>
                <w:lang w:val="en-ZA" w:eastAsia="en-US"/>
              </w:rPr>
              <w:t>(f) have provider-initiated testing and counselling (PITC) carried out in accordance with applicable guidelines.</w:t>
            </w:r>
          </w:p>
        </w:tc>
        <w:tc>
          <w:tcPr>
            <w:tcW w:w="4536" w:type="dxa"/>
          </w:tcPr>
          <w:p w14:paraId="44590FC5" w14:textId="77777777" w:rsidR="000D04EF" w:rsidRPr="00D33A1E" w:rsidRDefault="000D04EF" w:rsidP="000D04EF">
            <w:pPr>
              <w:rPr>
                <w:rFonts w:eastAsia="Aptos" w:cs="Arial"/>
                <w:lang w:eastAsia="en-US"/>
              </w:rPr>
            </w:pPr>
          </w:p>
        </w:tc>
        <w:tc>
          <w:tcPr>
            <w:tcW w:w="4961" w:type="dxa"/>
          </w:tcPr>
          <w:p w14:paraId="27BEC080" w14:textId="77777777" w:rsidR="000D04EF" w:rsidRPr="00D33A1E" w:rsidRDefault="000D04EF" w:rsidP="000D04EF">
            <w:pPr>
              <w:rPr>
                <w:rFonts w:eastAsia="Aptos" w:cs="Arial"/>
                <w:lang w:eastAsia="en-US"/>
              </w:rPr>
            </w:pPr>
          </w:p>
        </w:tc>
      </w:tr>
      <w:tr w:rsidR="000D04EF" w:rsidRPr="00D33A1E" w14:paraId="31E32EBE" w14:textId="77777777" w:rsidTr="00326018">
        <w:tc>
          <w:tcPr>
            <w:tcW w:w="5382" w:type="dxa"/>
          </w:tcPr>
          <w:p w14:paraId="7BD9ACA9" w14:textId="77777777" w:rsidR="000D04EF" w:rsidRPr="00D33A1E" w:rsidRDefault="000D04EF" w:rsidP="000D04EF">
            <w:pPr>
              <w:spacing w:line="276" w:lineRule="auto"/>
              <w:rPr>
                <w:rFonts w:eastAsia="Aptos" w:cs="Times New Roman"/>
                <w:b/>
                <w:bCs/>
                <w:color w:val="000000"/>
                <w:sz w:val="22"/>
                <w:szCs w:val="22"/>
                <w:lang w:val="en-ZA" w:eastAsia="en-US"/>
              </w:rPr>
            </w:pPr>
            <w:r w:rsidRPr="00D33A1E">
              <w:rPr>
                <w:rFonts w:eastAsia="Aptos" w:cs="Times New Roman"/>
                <w:b/>
                <w:bCs/>
                <w:color w:val="000000"/>
                <w:sz w:val="22"/>
                <w:szCs w:val="22"/>
                <w:lang w:val="en-ZA" w:eastAsia="en-US"/>
              </w:rPr>
              <w:t>Regulation Title: 23 Oral Health and Dental Services</w:t>
            </w:r>
          </w:p>
          <w:p w14:paraId="68C1B72B" w14:textId="77777777" w:rsidR="000D04EF" w:rsidRPr="00D33A1E" w:rsidRDefault="000D04EF" w:rsidP="000D04EF">
            <w:pPr>
              <w:spacing w:line="276" w:lineRule="auto"/>
              <w:rPr>
                <w:rFonts w:eastAsia="Aptos" w:cs="Arial"/>
                <w:color w:val="000000"/>
                <w:sz w:val="22"/>
                <w:szCs w:val="22"/>
                <w:lang w:val="en-ZA" w:eastAsia="en-US"/>
              </w:rPr>
            </w:pPr>
            <w:r w:rsidRPr="00D33A1E">
              <w:rPr>
                <w:rFonts w:eastAsia="Aptos" w:cs="Times New Roman"/>
                <w:b/>
                <w:bCs/>
                <w:color w:val="000000"/>
                <w:sz w:val="22"/>
                <w:szCs w:val="22"/>
                <w:lang w:val="en-ZA" w:eastAsia="en-US"/>
              </w:rPr>
              <w:t xml:space="preserve">Regulation statement: </w:t>
            </w:r>
            <w:r w:rsidRPr="00D33A1E">
              <w:rPr>
                <w:rFonts w:eastAsia="Aptos" w:cs="Times New Roman"/>
                <w:color w:val="000000"/>
                <w:sz w:val="22"/>
                <w:szCs w:val="22"/>
                <w:lang w:val="en-ZA" w:eastAsia="en-US"/>
              </w:rPr>
              <w:t>23 (1)</w:t>
            </w:r>
            <w:r w:rsidRPr="00D33A1E">
              <w:rPr>
                <w:rFonts w:eastAsia="Aptos" w:cs="Times New Roman"/>
                <w:b/>
                <w:bCs/>
                <w:color w:val="000000"/>
                <w:sz w:val="22"/>
                <w:szCs w:val="22"/>
                <w:lang w:val="en-ZA" w:eastAsia="en-US"/>
              </w:rPr>
              <w:t xml:space="preserve"> </w:t>
            </w:r>
            <w:r w:rsidRPr="00D33A1E">
              <w:rPr>
                <w:rFonts w:eastAsia="Aptos" w:cs="Arial"/>
                <w:color w:val="000000"/>
                <w:sz w:val="22"/>
                <w:szCs w:val="22"/>
                <w:lang w:val="en-ZA" w:eastAsia="en-US"/>
              </w:rPr>
              <w:t>The</w:t>
            </w:r>
            <w:r w:rsidRPr="00D33A1E">
              <w:rPr>
                <w:rFonts w:eastAsia="Aptos" w:cs="Arial"/>
                <w:b/>
                <w:bCs/>
                <w:color w:val="000000"/>
                <w:sz w:val="22"/>
                <w:szCs w:val="22"/>
                <w:lang w:val="en-ZA" w:eastAsia="en-US"/>
              </w:rPr>
              <w:t xml:space="preserve"> </w:t>
            </w:r>
            <w:r w:rsidRPr="00D33A1E">
              <w:rPr>
                <w:rFonts w:eastAsia="Aptos" w:cs="Arial"/>
                <w:color w:val="000000"/>
                <w:sz w:val="22"/>
                <w:szCs w:val="22"/>
                <w:lang w:val="en-ZA" w:eastAsia="en-US"/>
              </w:rPr>
              <w:t>health establishment must provide preventive and promotive programmes for oral health, and curative dental services to meet the needs of the users.</w:t>
            </w:r>
          </w:p>
          <w:p w14:paraId="6A9CDC7D"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eastAsia="en-US"/>
              </w:rPr>
            </w:pPr>
            <w:r w:rsidRPr="00D33A1E">
              <w:rPr>
                <w:rFonts w:eastAsia="Aptos" w:cs="Arial"/>
                <w:b/>
                <w:bCs/>
                <w:color w:val="000000"/>
                <w:kern w:val="0"/>
                <w:sz w:val="22"/>
                <w:szCs w:val="22"/>
                <w:lang w:eastAsia="en-US"/>
              </w:rPr>
              <w:t xml:space="preserve">Sub-regulation statement: </w:t>
            </w:r>
            <w:r w:rsidRPr="00D33A1E">
              <w:rPr>
                <w:rFonts w:eastAsia="Aptos" w:cs="Arial"/>
                <w:color w:val="000000"/>
                <w:kern w:val="0"/>
                <w:sz w:val="22"/>
                <w:szCs w:val="22"/>
                <w:lang w:eastAsia="en-US"/>
              </w:rPr>
              <w:t>(2)</w:t>
            </w:r>
            <w:r w:rsidRPr="00D33A1E">
              <w:rPr>
                <w:rFonts w:eastAsia="Aptos" w:cs="Arial"/>
                <w:b/>
                <w:bCs/>
                <w:color w:val="000000"/>
                <w:kern w:val="0"/>
                <w:sz w:val="22"/>
                <w:szCs w:val="22"/>
                <w:lang w:eastAsia="en-US"/>
              </w:rPr>
              <w:t xml:space="preserve"> </w:t>
            </w:r>
            <w:r w:rsidRPr="00D33A1E">
              <w:rPr>
                <w:rFonts w:eastAsia="Aptos" w:cs="Arial"/>
                <w:color w:val="000000"/>
                <w:kern w:val="0"/>
                <w:sz w:val="22"/>
                <w:szCs w:val="22"/>
                <w:lang w:eastAsia="en-US"/>
              </w:rPr>
              <w:t>For the purpose of sub-regulation (1), a health establishment that provides oral health and dental services must-</w:t>
            </w:r>
          </w:p>
          <w:p w14:paraId="1EC38885" w14:textId="77777777" w:rsidR="000D04EF" w:rsidRPr="00D33A1E" w:rsidRDefault="000D04EF" w:rsidP="000D04EF">
            <w:pPr>
              <w:autoSpaceDE w:val="0"/>
              <w:autoSpaceDN w:val="0"/>
              <w:adjustRightInd w:val="0"/>
              <w:rPr>
                <w:rFonts w:eastAsia="Aptos" w:cs="Arial"/>
                <w:color w:val="000000"/>
                <w:kern w:val="0"/>
                <w:sz w:val="22"/>
                <w:szCs w:val="22"/>
                <w:lang w:val="en-ZA" w:eastAsia="en-US"/>
              </w:rPr>
            </w:pPr>
            <w:r w:rsidRPr="00D33A1E">
              <w:rPr>
                <w:rFonts w:eastAsia="Aptos" w:cs="Arial"/>
                <w:color w:val="000000"/>
                <w:kern w:val="0"/>
                <w:sz w:val="22"/>
                <w:szCs w:val="22"/>
                <w:lang w:val="en-ZA" w:eastAsia="en-US"/>
              </w:rPr>
              <w:t>(a) provide oral health assessment, education and treatment in accordance with -specific guidelines; and</w:t>
            </w:r>
          </w:p>
          <w:p w14:paraId="4E591960" w14:textId="77777777" w:rsidR="000D04EF" w:rsidRPr="00D33A1E" w:rsidRDefault="000D04EF" w:rsidP="000D04EF">
            <w:pPr>
              <w:rPr>
                <w:rFonts w:eastAsia="Aptos" w:cs="Arial"/>
                <w:b/>
                <w:bCs/>
                <w:lang w:eastAsia="en-US"/>
              </w:rPr>
            </w:pPr>
            <w:r w:rsidRPr="00D33A1E">
              <w:rPr>
                <w:rFonts w:eastAsia="Aptos" w:cs="Arial"/>
                <w:color w:val="000000"/>
                <w:sz w:val="22"/>
                <w:szCs w:val="22"/>
                <w:lang w:eastAsia="en-US"/>
              </w:rPr>
              <w:lastRenderedPageBreak/>
              <w:t>(b) ensure referral pathways for specialised dental care.</w:t>
            </w:r>
          </w:p>
        </w:tc>
        <w:tc>
          <w:tcPr>
            <w:tcW w:w="4536" w:type="dxa"/>
          </w:tcPr>
          <w:p w14:paraId="4B2F6785" w14:textId="77777777" w:rsidR="000D04EF" w:rsidRPr="00D33A1E" w:rsidRDefault="000D04EF" w:rsidP="000D04EF">
            <w:pPr>
              <w:rPr>
                <w:rFonts w:eastAsia="Aptos" w:cs="Arial"/>
                <w:lang w:eastAsia="en-US"/>
              </w:rPr>
            </w:pPr>
          </w:p>
        </w:tc>
        <w:tc>
          <w:tcPr>
            <w:tcW w:w="4961" w:type="dxa"/>
          </w:tcPr>
          <w:p w14:paraId="74A32584" w14:textId="77777777" w:rsidR="000D04EF" w:rsidRPr="00D33A1E" w:rsidRDefault="000D04EF" w:rsidP="000D04EF">
            <w:pPr>
              <w:rPr>
                <w:rFonts w:eastAsia="Aptos" w:cs="Arial"/>
                <w:lang w:eastAsia="en-US"/>
              </w:rPr>
            </w:pPr>
          </w:p>
        </w:tc>
      </w:tr>
      <w:tr w:rsidR="000D04EF" w:rsidRPr="00D33A1E" w14:paraId="77EABAA3" w14:textId="77777777" w:rsidTr="00326018">
        <w:tc>
          <w:tcPr>
            <w:tcW w:w="5382" w:type="dxa"/>
          </w:tcPr>
          <w:p w14:paraId="7384F72D" w14:textId="77777777" w:rsidR="000D04EF" w:rsidRPr="00D33A1E" w:rsidRDefault="000D04EF" w:rsidP="000D04EF">
            <w:pPr>
              <w:spacing w:line="276" w:lineRule="auto"/>
              <w:rPr>
                <w:rFonts w:eastAsia="Aptos" w:cs="Arial"/>
                <w:b/>
                <w:bCs/>
                <w:color w:val="000000"/>
                <w:sz w:val="22"/>
                <w:szCs w:val="22"/>
                <w:lang w:eastAsia="en-US"/>
              </w:rPr>
            </w:pPr>
            <w:r w:rsidRPr="00D33A1E">
              <w:rPr>
                <w:rFonts w:eastAsia="Aptos" w:cs="Arial"/>
                <w:b/>
                <w:bCs/>
                <w:color w:val="000000"/>
                <w:sz w:val="22"/>
                <w:szCs w:val="22"/>
                <w:lang w:eastAsia="en-US"/>
              </w:rPr>
              <w:t xml:space="preserve">Regulation title : 24 Specialised Psychiatric Services </w:t>
            </w:r>
          </w:p>
          <w:p w14:paraId="4F0B767A" w14:textId="77777777" w:rsidR="000D04EF" w:rsidRPr="00D33A1E" w:rsidRDefault="000D04EF" w:rsidP="000D04EF">
            <w:pPr>
              <w:spacing w:line="276" w:lineRule="auto"/>
              <w:rPr>
                <w:rFonts w:eastAsia="Aptos" w:cs="Arial"/>
                <w:color w:val="000000"/>
                <w:sz w:val="22"/>
                <w:szCs w:val="22"/>
                <w:lang w:val="en-ZA" w:eastAsia="en-US"/>
              </w:rPr>
            </w:pPr>
            <w:r w:rsidRPr="00D33A1E">
              <w:rPr>
                <w:rFonts w:eastAsia="Aptos" w:cs="Arial"/>
                <w:b/>
                <w:bCs/>
                <w:color w:val="000000"/>
                <w:sz w:val="22"/>
                <w:szCs w:val="22"/>
                <w:lang w:eastAsia="en-US"/>
              </w:rPr>
              <w:t xml:space="preserve">Regulation statement: </w:t>
            </w:r>
            <w:r w:rsidRPr="00D33A1E">
              <w:rPr>
                <w:rFonts w:eastAsia="Aptos" w:cs="Arial"/>
                <w:color w:val="000000"/>
                <w:sz w:val="22"/>
                <w:szCs w:val="22"/>
                <w:lang w:eastAsia="en-US"/>
              </w:rPr>
              <w:t>24 (1)</w:t>
            </w:r>
            <w:r w:rsidRPr="00D33A1E">
              <w:rPr>
                <w:rFonts w:eastAsia="Aptos" w:cs="Arial"/>
                <w:b/>
                <w:bCs/>
                <w:color w:val="000000"/>
                <w:sz w:val="22"/>
                <w:szCs w:val="22"/>
                <w:lang w:eastAsia="en-US"/>
              </w:rPr>
              <w:t xml:space="preserve"> </w:t>
            </w:r>
            <w:r w:rsidRPr="00D33A1E">
              <w:rPr>
                <w:rFonts w:eastAsia="Aptos" w:cs="Arial"/>
                <w:color w:val="000000"/>
                <w:sz w:val="22"/>
                <w:szCs w:val="22"/>
                <w:lang w:val="en-ZA" w:eastAsia="en-US"/>
              </w:rPr>
              <w:t>The health establishment must provide specialised psychiatric care, treatment, and rehabilitation services in a safe and humane manner, in line with applicable legislation.</w:t>
            </w:r>
          </w:p>
          <w:p w14:paraId="05CD0D5A" w14:textId="77777777" w:rsidR="000D04EF" w:rsidRPr="00D33A1E" w:rsidRDefault="000D04EF" w:rsidP="000D04EF">
            <w:pPr>
              <w:spacing w:line="276" w:lineRule="auto"/>
              <w:rPr>
                <w:rFonts w:eastAsia="Aptos" w:cs="Arial"/>
                <w:color w:val="000000"/>
                <w:sz w:val="22"/>
                <w:szCs w:val="22"/>
                <w:lang w:eastAsia="en-US"/>
              </w:rPr>
            </w:pPr>
            <w:r w:rsidRPr="00D33A1E">
              <w:rPr>
                <w:rFonts w:eastAsia="Aptos" w:cs="Arial"/>
                <w:b/>
                <w:bCs/>
                <w:color w:val="000000"/>
                <w:sz w:val="22"/>
                <w:szCs w:val="22"/>
                <w:lang w:eastAsia="en-US"/>
              </w:rPr>
              <w:t xml:space="preserve">Sub-regulation statement: </w:t>
            </w:r>
            <w:r w:rsidRPr="00D33A1E">
              <w:rPr>
                <w:rFonts w:eastAsia="Aptos" w:cs="Arial"/>
                <w:color w:val="000000"/>
                <w:sz w:val="22"/>
                <w:szCs w:val="22"/>
                <w:lang w:eastAsia="en-US"/>
              </w:rPr>
              <w:t xml:space="preserve">(2) </w:t>
            </w:r>
            <w:r w:rsidRPr="00D33A1E">
              <w:rPr>
                <w:rFonts w:eastAsia="Aptos" w:cs="Times New Roman"/>
                <w:color w:val="000000"/>
                <w:sz w:val="22"/>
                <w:szCs w:val="22"/>
                <w:lang w:val="en-ZA" w:eastAsia="en-US"/>
              </w:rPr>
              <w:t>For the purpose of sub-regulation (1), a health establishment must-</w:t>
            </w:r>
          </w:p>
          <w:p w14:paraId="2685DFCF"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t>(a) comply with the applicable legislation and regulatory requirements for the admission, seclusion, detention, treatment, and discharge of mental health care users, including voluntary, assisted, and involuntary care processes;</w:t>
            </w:r>
            <w:r w:rsidRPr="00D33A1E" w:rsidDel="00825B6A">
              <w:rPr>
                <w:rFonts w:eastAsia="Aptos" w:cs="Arial"/>
                <w:color w:val="000000"/>
                <w:kern w:val="0"/>
                <w:sz w:val="22"/>
                <w:szCs w:val="22"/>
                <w:lang w:val="en-ZA" w:eastAsia="en-US"/>
              </w:rPr>
              <w:t xml:space="preserve"> </w:t>
            </w:r>
          </w:p>
          <w:p w14:paraId="78E7BED2"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t xml:space="preserve">(b) develop and implement structured clinical programmes and rehabilitation services for the management of mental health conditions, including risk assessment, acute psychiatric care, severe mental illness, substance use disorders, and psychosocial rehabilitation and reintegration; </w:t>
            </w:r>
          </w:p>
          <w:p w14:paraId="6D906816" w14:textId="0F792933"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t>(c) provide multidisciplinary psychiatric care through teams that include, a</w:t>
            </w:r>
            <w:r w:rsidR="004E2C58">
              <w:rPr>
                <w:rFonts w:eastAsia="Aptos" w:cs="Arial"/>
                <w:color w:val="000000"/>
                <w:kern w:val="0"/>
                <w:sz w:val="22"/>
                <w:szCs w:val="22"/>
                <w:lang w:val="en-ZA" w:eastAsia="en-US"/>
              </w:rPr>
              <w:t>s</w:t>
            </w:r>
            <w:r w:rsidRPr="00D33A1E">
              <w:rPr>
                <w:rFonts w:eastAsia="Aptos" w:cs="Arial"/>
                <w:color w:val="000000"/>
                <w:kern w:val="0"/>
                <w:sz w:val="22"/>
                <w:szCs w:val="22"/>
                <w:lang w:val="en-ZA" w:eastAsia="en-US"/>
              </w:rPr>
              <w:t xml:space="preserve"> a minimum, access to psychiatry, nursing, psychology, social work, and occupational therapy;</w:t>
            </w:r>
          </w:p>
          <w:p w14:paraId="57F6001D"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lastRenderedPageBreak/>
              <w:t>(d) ensure that informed consent processes include capacity assessment, supported decision-making where capacity is impaired, and documentation in accordance with the Mental Health Care Act, 2002;</w:t>
            </w:r>
          </w:p>
          <w:p w14:paraId="136F3693"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t>(e) ensure that users, healthcare personnel and visitors are safe;</w:t>
            </w:r>
          </w:p>
          <w:p w14:paraId="2C8D574E" w14:textId="77777777" w:rsidR="000D04EF" w:rsidRPr="00D33A1E" w:rsidRDefault="000D04EF" w:rsidP="000D04EF">
            <w:pPr>
              <w:autoSpaceDE w:val="0"/>
              <w:autoSpaceDN w:val="0"/>
              <w:adjustRightInd w:val="0"/>
              <w:spacing w:line="276" w:lineRule="auto"/>
              <w:rPr>
                <w:rFonts w:eastAsia="Aptos" w:cs="Arial"/>
                <w:color w:val="000000"/>
                <w:kern w:val="0"/>
                <w:sz w:val="22"/>
                <w:szCs w:val="22"/>
                <w:lang w:val="en-ZA" w:eastAsia="en-US"/>
              </w:rPr>
            </w:pPr>
            <w:r w:rsidRPr="00D33A1E">
              <w:rPr>
                <w:rFonts w:eastAsia="Aptos" w:cs="Arial"/>
                <w:color w:val="000000"/>
                <w:kern w:val="0"/>
                <w:sz w:val="22"/>
                <w:szCs w:val="22"/>
                <w:lang w:val="en-ZA" w:eastAsia="en-US"/>
              </w:rPr>
              <w:t>(f) comply with requirements of the Mental Health Review Board; and</w:t>
            </w:r>
          </w:p>
          <w:p w14:paraId="455B2420" w14:textId="77777777" w:rsidR="000D04EF" w:rsidRPr="00D33A1E" w:rsidRDefault="000D04EF" w:rsidP="000D04EF">
            <w:pPr>
              <w:autoSpaceDE w:val="0"/>
              <w:autoSpaceDN w:val="0"/>
              <w:adjustRightInd w:val="0"/>
              <w:spacing w:line="276" w:lineRule="auto"/>
              <w:rPr>
                <w:rFonts w:eastAsia="Aptos" w:cs="Arial"/>
                <w:b/>
                <w:bCs/>
                <w:lang w:eastAsia="en-US"/>
              </w:rPr>
            </w:pPr>
            <w:r w:rsidRPr="00D33A1E">
              <w:rPr>
                <w:rFonts w:eastAsia="Aptos" w:cs="Arial"/>
                <w:color w:val="000000"/>
                <w:kern w:val="0"/>
                <w:sz w:val="22"/>
                <w:szCs w:val="22"/>
                <w:lang w:val="en-ZA" w:eastAsia="en-US"/>
              </w:rPr>
              <w:t>(g) ensure seclusion of mental healthcare users complies with the relevant legislation/regulations.</w:t>
            </w:r>
          </w:p>
        </w:tc>
        <w:tc>
          <w:tcPr>
            <w:tcW w:w="4536" w:type="dxa"/>
          </w:tcPr>
          <w:p w14:paraId="5485C2D4" w14:textId="77777777" w:rsidR="000D04EF" w:rsidRPr="00D33A1E" w:rsidRDefault="000D04EF" w:rsidP="000D04EF">
            <w:pPr>
              <w:rPr>
                <w:rFonts w:eastAsia="Aptos" w:cs="Arial"/>
                <w:lang w:eastAsia="en-US"/>
              </w:rPr>
            </w:pPr>
          </w:p>
        </w:tc>
        <w:tc>
          <w:tcPr>
            <w:tcW w:w="4961" w:type="dxa"/>
          </w:tcPr>
          <w:p w14:paraId="2A902BBD" w14:textId="77777777" w:rsidR="000D04EF" w:rsidRPr="00D33A1E" w:rsidRDefault="000D04EF" w:rsidP="000D04EF">
            <w:pPr>
              <w:rPr>
                <w:rFonts w:eastAsia="Aptos" w:cs="Arial"/>
                <w:lang w:eastAsia="en-US"/>
              </w:rPr>
            </w:pPr>
          </w:p>
        </w:tc>
      </w:tr>
      <w:tr w:rsidR="000D04EF" w:rsidRPr="00D33A1E" w14:paraId="49CE2911" w14:textId="77777777" w:rsidTr="00326018">
        <w:tc>
          <w:tcPr>
            <w:tcW w:w="5382" w:type="dxa"/>
          </w:tcPr>
          <w:p w14:paraId="0306FC46" w14:textId="77777777" w:rsidR="000D04EF" w:rsidRPr="00D33A1E" w:rsidRDefault="000D04EF" w:rsidP="000D04EF">
            <w:pPr>
              <w:spacing w:line="360" w:lineRule="auto"/>
              <w:rPr>
                <w:rFonts w:eastAsia="Aptos" w:cs="Arial"/>
                <w:b/>
                <w:bCs/>
                <w:lang w:eastAsia="en-US"/>
              </w:rPr>
            </w:pPr>
            <w:r w:rsidRPr="00D33A1E">
              <w:rPr>
                <w:rFonts w:eastAsia="Aptos" w:cs="Times New Roman"/>
                <w:b/>
                <w:bCs/>
                <w:sz w:val="22"/>
                <w:szCs w:val="22"/>
                <w:lang w:val="en-ZA" w:eastAsia="en-US"/>
              </w:rPr>
              <w:t xml:space="preserve">CHAPTER 6: CLINICAL SUPPORT SERVICES </w:t>
            </w:r>
          </w:p>
        </w:tc>
        <w:tc>
          <w:tcPr>
            <w:tcW w:w="4536" w:type="dxa"/>
          </w:tcPr>
          <w:p w14:paraId="3E08C30D" w14:textId="77777777" w:rsidR="000D04EF" w:rsidRPr="00D33A1E" w:rsidRDefault="000D04EF" w:rsidP="000D04EF">
            <w:pPr>
              <w:rPr>
                <w:rFonts w:eastAsia="Aptos" w:cs="Arial"/>
                <w:lang w:eastAsia="en-US"/>
              </w:rPr>
            </w:pPr>
          </w:p>
        </w:tc>
        <w:tc>
          <w:tcPr>
            <w:tcW w:w="4961" w:type="dxa"/>
          </w:tcPr>
          <w:p w14:paraId="712F9759" w14:textId="77777777" w:rsidR="000D04EF" w:rsidRPr="00D33A1E" w:rsidRDefault="000D04EF" w:rsidP="000D04EF">
            <w:pPr>
              <w:rPr>
                <w:rFonts w:eastAsia="Aptos" w:cs="Arial"/>
                <w:lang w:eastAsia="en-US"/>
              </w:rPr>
            </w:pPr>
          </w:p>
        </w:tc>
      </w:tr>
      <w:tr w:rsidR="000D04EF" w:rsidRPr="00D33A1E" w14:paraId="71815264" w14:textId="77777777" w:rsidTr="00326018">
        <w:tc>
          <w:tcPr>
            <w:tcW w:w="5382" w:type="dxa"/>
          </w:tcPr>
          <w:p w14:paraId="050A5535"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25 Medical equipment and devices; Rehabilitation Services equipment.</w:t>
            </w:r>
          </w:p>
          <w:p w14:paraId="7873988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25 (1) The health establishment must ensure that medical equipment, devices and specialised equipment for rehabilitation services is available, functional and maintained to support safe, effective and uninterrupted clinical care.</w:t>
            </w:r>
          </w:p>
          <w:p w14:paraId="05AFA82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 of sub-regulation (1) the health establishment must-</w:t>
            </w:r>
          </w:p>
          <w:p w14:paraId="3ED26E5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ensure that medical equipment is licensed by the relevant authority where required;</w:t>
            </w:r>
          </w:p>
          <w:p w14:paraId="29DF730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have essential medical equipment, devices and or specialised equipment for rehabilitation services in clinical areas in accordance with the national or provincial or health establishment guidelines;</w:t>
            </w:r>
          </w:p>
          <w:p w14:paraId="7C4C4CDF" w14:textId="77777777" w:rsidR="000D04EF" w:rsidRPr="00D33A1E" w:rsidRDefault="000D04EF" w:rsidP="000D04EF">
            <w:pPr>
              <w:shd w:val="clear" w:color="auto" w:fill="FFFFFF"/>
              <w:spacing w:line="276" w:lineRule="auto"/>
              <w:rPr>
                <w:rFonts w:eastAsia="Aptos" w:cs="Aptos"/>
                <w:sz w:val="22"/>
                <w:szCs w:val="22"/>
                <w:lang w:val="en-ZA" w:eastAsia="en-US"/>
              </w:rPr>
            </w:pPr>
            <w:r w:rsidRPr="00D33A1E">
              <w:rPr>
                <w:rFonts w:eastAsia="Aptos" w:cs="Times New Roman"/>
                <w:sz w:val="22"/>
                <w:szCs w:val="22"/>
                <w:lang w:val="en-ZA" w:eastAsia="en-US"/>
              </w:rPr>
              <w:lastRenderedPageBreak/>
              <w:t>(c) maintain, service, calibrate medical equipment and devices in accordance with manufacturer’s instructions;</w:t>
            </w:r>
            <w:r w:rsidRPr="00D33A1E">
              <w:rPr>
                <w:rFonts w:eastAsia="Aptos" w:cs="Aptos"/>
                <w:sz w:val="22"/>
                <w:szCs w:val="22"/>
                <w:lang w:val="en-ZA" w:eastAsia="en-US"/>
              </w:rPr>
              <w:t xml:space="preserve"> </w:t>
            </w:r>
          </w:p>
          <w:p w14:paraId="162E00D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(d) procure medical equipment in accordance with the relevant legislation; </w:t>
            </w:r>
          </w:p>
          <w:p w14:paraId="7DE345C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have management systems in place to minimise the risk of patient safety incidents related to medical equipment; and</w:t>
            </w:r>
          </w:p>
          <w:p w14:paraId="12F96918" w14:textId="77777777" w:rsidR="000D04EF" w:rsidRPr="00D33A1E" w:rsidRDefault="000D04EF" w:rsidP="000D04EF">
            <w:pPr>
              <w:spacing w:line="276" w:lineRule="auto"/>
              <w:rPr>
                <w:rFonts w:eastAsia="Aptos" w:cs="Arial"/>
                <w:b/>
                <w:bCs/>
                <w:lang w:eastAsia="en-US"/>
              </w:rPr>
            </w:pPr>
            <w:r w:rsidRPr="00D33A1E">
              <w:rPr>
                <w:rFonts w:eastAsia="Aptos" w:cs="Aptos"/>
                <w:sz w:val="22"/>
                <w:szCs w:val="22"/>
                <w:lang w:val="en-ZA" w:eastAsia="en-US"/>
              </w:rPr>
              <w:t xml:space="preserve">(f) store  equipment in safe areas thereby enabling protection to maintain longevity. </w:t>
            </w:r>
          </w:p>
        </w:tc>
        <w:tc>
          <w:tcPr>
            <w:tcW w:w="4536" w:type="dxa"/>
          </w:tcPr>
          <w:p w14:paraId="05418A60" w14:textId="77777777" w:rsidR="000D04EF" w:rsidRPr="00D33A1E" w:rsidRDefault="000D04EF" w:rsidP="000D04EF">
            <w:pPr>
              <w:rPr>
                <w:rFonts w:eastAsia="Aptos" w:cs="Arial"/>
                <w:lang w:eastAsia="en-US"/>
              </w:rPr>
            </w:pPr>
          </w:p>
        </w:tc>
        <w:tc>
          <w:tcPr>
            <w:tcW w:w="4961" w:type="dxa"/>
          </w:tcPr>
          <w:p w14:paraId="3E663162" w14:textId="77777777" w:rsidR="000D04EF" w:rsidRPr="00D33A1E" w:rsidRDefault="000D04EF" w:rsidP="000D04EF">
            <w:pPr>
              <w:rPr>
                <w:rFonts w:eastAsia="Aptos" w:cs="Arial"/>
                <w:lang w:eastAsia="en-US"/>
              </w:rPr>
            </w:pPr>
          </w:p>
        </w:tc>
      </w:tr>
      <w:tr w:rsidR="000D04EF" w:rsidRPr="00D33A1E" w14:paraId="0D4E509D" w14:textId="77777777" w:rsidTr="00326018">
        <w:tc>
          <w:tcPr>
            <w:tcW w:w="5382" w:type="dxa"/>
          </w:tcPr>
          <w:p w14:paraId="0942C5B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25 (3) The health establishment must ensure that medical equipment is safe for users and used in accordance with the manufacturer’s specifications.</w:t>
            </w:r>
          </w:p>
          <w:p w14:paraId="61A7828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(4) For the purpose of sub-regulation (3) the health establishment must -</w:t>
            </w:r>
          </w:p>
          <w:p w14:paraId="724648DB" w14:textId="77777777" w:rsidR="000D04EF" w:rsidRPr="00D33A1E" w:rsidRDefault="000D04EF" w:rsidP="000D04EF">
            <w:pPr>
              <w:spacing w:line="276" w:lineRule="auto"/>
              <w:rPr>
                <w:rFonts w:eastAsia="Aptos" w:cs="Times New Roman"/>
                <w:strike/>
                <w:sz w:val="22"/>
                <w:szCs w:val="22"/>
                <w:lang w:val="en-ZA" w:eastAsia="en-US"/>
              </w:rPr>
            </w:pPr>
            <w:r w:rsidRPr="00D33A1E">
              <w:rPr>
                <w:rFonts w:eastAsia="Aptos" w:cs="Times New Roman"/>
                <w:sz w:val="22"/>
                <w:szCs w:val="22"/>
                <w:lang w:val="en-ZA" w:eastAsia="en-US"/>
              </w:rPr>
              <w:t>(a) train health care personnel in the use, calibration, testing, cleaning and disinfection of medical equipment;</w:t>
            </w:r>
          </w:p>
          <w:p w14:paraId="0D65EA0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report patient safety incidents relating to equipment failure or malfunction; and</w:t>
            </w:r>
          </w:p>
          <w:p w14:paraId="19CFDABF"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 xml:space="preserve">(c) clean and disinfect medical equipment in line with manufacturer’s instructions. </w:t>
            </w:r>
          </w:p>
        </w:tc>
        <w:tc>
          <w:tcPr>
            <w:tcW w:w="4536" w:type="dxa"/>
          </w:tcPr>
          <w:p w14:paraId="5607A0CF" w14:textId="77777777" w:rsidR="000D04EF" w:rsidRPr="00D33A1E" w:rsidRDefault="000D04EF" w:rsidP="000D04EF">
            <w:pPr>
              <w:rPr>
                <w:rFonts w:eastAsia="Aptos" w:cs="Arial"/>
                <w:lang w:eastAsia="en-US"/>
              </w:rPr>
            </w:pPr>
          </w:p>
        </w:tc>
        <w:tc>
          <w:tcPr>
            <w:tcW w:w="4961" w:type="dxa"/>
          </w:tcPr>
          <w:p w14:paraId="7DB113B7" w14:textId="77777777" w:rsidR="000D04EF" w:rsidRPr="00D33A1E" w:rsidRDefault="000D04EF" w:rsidP="000D04EF">
            <w:pPr>
              <w:rPr>
                <w:rFonts w:eastAsia="Aptos" w:cs="Arial"/>
                <w:lang w:eastAsia="en-US"/>
              </w:rPr>
            </w:pPr>
          </w:p>
        </w:tc>
      </w:tr>
      <w:tr w:rsidR="000D04EF" w:rsidRPr="00D33A1E" w14:paraId="7B428BCC" w14:textId="77777777" w:rsidTr="00326018">
        <w:tc>
          <w:tcPr>
            <w:tcW w:w="5382" w:type="dxa"/>
          </w:tcPr>
          <w:p w14:paraId="107757B4"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26 Medicine Management</w:t>
            </w:r>
          </w:p>
          <w:p w14:paraId="4D6C3E8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Statements:</w:t>
            </w:r>
            <w:r w:rsidRPr="00D33A1E">
              <w:rPr>
                <w:rFonts w:eastAsia="Aptos" w:cs="Times New Roman"/>
                <w:sz w:val="22"/>
                <w:szCs w:val="22"/>
                <w:lang w:val="en-ZA" w:eastAsia="en-US"/>
              </w:rPr>
              <w:t xml:space="preserve"> 26 (1) The health establishment must comply with the provisions of the Pharmacy Act, 1974 (Act 53 of 1974 ,Medicines and </w:t>
            </w:r>
            <w:r w:rsidRPr="00D33A1E">
              <w:rPr>
                <w:rFonts w:eastAsia="Aptos" w:cs="Times New Roman"/>
                <w:sz w:val="22"/>
                <w:szCs w:val="22"/>
                <w:lang w:val="en-ZA" w:eastAsia="en-US"/>
              </w:rPr>
              <w:lastRenderedPageBreak/>
              <w:t>Related Substances Act of 1965 and related regulations.</w:t>
            </w:r>
          </w:p>
          <w:p w14:paraId="4CA6917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the health establishment must-</w:t>
            </w:r>
          </w:p>
          <w:p w14:paraId="2D282BD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manage and store medicines in line with relevant legislation and guidelines;</w:t>
            </w:r>
          </w:p>
          <w:p w14:paraId="7926E99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(b) implement and maintain a stock control system for medicine; </w:t>
            </w:r>
          </w:p>
          <w:p w14:paraId="64DC23D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have the required medicines in stock for delivery of services; </w:t>
            </w:r>
          </w:p>
          <w:p w14:paraId="6C56DA5F" w14:textId="77777777" w:rsidR="000D04EF" w:rsidRPr="00D33A1E" w:rsidRDefault="000D04EF" w:rsidP="000D04EF">
            <w:pPr>
              <w:spacing w:line="276" w:lineRule="auto"/>
              <w:rPr>
                <w:rFonts w:eastAsia="Aptos" w:cs="Aptos"/>
                <w:sz w:val="22"/>
                <w:szCs w:val="22"/>
                <w:lang w:val="en-ZA" w:eastAsia="en-US"/>
              </w:rPr>
            </w:pPr>
            <w:r w:rsidRPr="00D33A1E">
              <w:rPr>
                <w:rFonts w:eastAsia="Aptos" w:cs="Aptos"/>
                <w:sz w:val="22"/>
                <w:szCs w:val="22"/>
                <w:lang w:val="en-ZA" w:eastAsia="en-US"/>
              </w:rPr>
              <w:t xml:space="preserve">(d) implement safety protocols for prescribing and dispensing of medicines; </w:t>
            </w:r>
          </w:p>
          <w:p w14:paraId="5B04595C" w14:textId="4B5F0D54" w:rsidR="000D04EF" w:rsidRPr="00D33A1E" w:rsidRDefault="000D04EF" w:rsidP="000D04EF">
            <w:pPr>
              <w:spacing w:line="276" w:lineRule="auto"/>
              <w:rPr>
                <w:rFonts w:eastAsia="Aptos" w:cs="Aptos"/>
                <w:sz w:val="22"/>
                <w:szCs w:val="22"/>
                <w:lang w:val="en-ZA" w:eastAsia="en-US"/>
              </w:rPr>
            </w:pPr>
            <w:r w:rsidRPr="00D33A1E">
              <w:rPr>
                <w:rFonts w:eastAsia="Aptos" w:cs="Aptos"/>
                <w:sz w:val="22"/>
                <w:szCs w:val="22"/>
                <w:lang w:val="en-ZA" w:eastAsia="en-US"/>
              </w:rPr>
              <w:t xml:space="preserve">(e) ensure users are provided with clear, understandable information on the </w:t>
            </w:r>
            <w:r w:rsidR="00C7019A">
              <w:rPr>
                <w:rFonts w:eastAsia="Aptos" w:cs="Aptos"/>
                <w:sz w:val="22"/>
                <w:szCs w:val="22"/>
                <w:lang w:val="en-ZA" w:eastAsia="en-US"/>
              </w:rPr>
              <w:t xml:space="preserve">use of </w:t>
            </w:r>
            <w:r w:rsidRPr="00D33A1E">
              <w:rPr>
                <w:rFonts w:eastAsia="Aptos" w:cs="Aptos"/>
                <w:sz w:val="22"/>
                <w:szCs w:val="22"/>
                <w:lang w:val="en-ZA" w:eastAsia="en-US"/>
              </w:rPr>
              <w:t>prescribed medicines;</w:t>
            </w:r>
          </w:p>
          <w:p w14:paraId="50E4F929" w14:textId="77777777" w:rsidR="000D04EF" w:rsidRPr="00D33A1E" w:rsidRDefault="000D04EF" w:rsidP="000D04EF">
            <w:pPr>
              <w:spacing w:line="276" w:lineRule="auto"/>
              <w:rPr>
                <w:rFonts w:eastAsia="Aptos" w:cs="Aptos"/>
                <w:sz w:val="22"/>
                <w:szCs w:val="22"/>
                <w:lang w:val="en-ZA" w:eastAsia="en-US"/>
              </w:rPr>
            </w:pPr>
            <w:r w:rsidRPr="00D33A1E">
              <w:rPr>
                <w:rFonts w:eastAsia="Aptos" w:cs="Times New Roman"/>
                <w:sz w:val="22"/>
                <w:szCs w:val="22"/>
                <w:lang w:val="en-ZA" w:eastAsia="en-US"/>
              </w:rPr>
              <w:t>(f) have systems to report and manage adverse drug reactions;</w:t>
            </w:r>
            <w:r w:rsidRPr="00D33A1E">
              <w:rPr>
                <w:rFonts w:eastAsia="Aptos" w:cs="Aptos"/>
                <w:sz w:val="22"/>
                <w:szCs w:val="22"/>
                <w:lang w:val="en-ZA" w:eastAsia="en-US"/>
              </w:rPr>
              <w:t xml:space="preserve"> </w:t>
            </w:r>
          </w:p>
          <w:p w14:paraId="7B37727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(g) have systems to optimise rational and quality use of medicine; and</w:t>
            </w:r>
          </w:p>
          <w:p w14:paraId="192EE72C"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(h) have licences and certificates as per relevant legislation or requirements by the statutory bodies/council for the service and healthcare providers.</w:t>
            </w:r>
          </w:p>
        </w:tc>
        <w:tc>
          <w:tcPr>
            <w:tcW w:w="4536" w:type="dxa"/>
          </w:tcPr>
          <w:p w14:paraId="37672F6B" w14:textId="77777777" w:rsidR="000D04EF" w:rsidRPr="00D33A1E" w:rsidRDefault="000D04EF" w:rsidP="000D04EF">
            <w:pPr>
              <w:rPr>
                <w:rFonts w:eastAsia="Aptos" w:cs="Arial"/>
                <w:lang w:eastAsia="en-US"/>
              </w:rPr>
            </w:pPr>
          </w:p>
        </w:tc>
        <w:tc>
          <w:tcPr>
            <w:tcW w:w="4961" w:type="dxa"/>
          </w:tcPr>
          <w:p w14:paraId="0C92EAB3" w14:textId="77777777" w:rsidR="000D04EF" w:rsidRPr="00D33A1E" w:rsidRDefault="000D04EF" w:rsidP="000D04EF">
            <w:pPr>
              <w:rPr>
                <w:rFonts w:eastAsia="Aptos" w:cs="Arial"/>
                <w:lang w:eastAsia="en-US"/>
              </w:rPr>
            </w:pPr>
          </w:p>
        </w:tc>
      </w:tr>
      <w:tr w:rsidR="000D04EF" w:rsidRPr="00D33A1E" w14:paraId="43A4D29D" w14:textId="77777777" w:rsidTr="00326018">
        <w:tc>
          <w:tcPr>
            <w:tcW w:w="5382" w:type="dxa"/>
          </w:tcPr>
          <w:p w14:paraId="42FA08D8"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27 Medical Supplies, Rehabilitation Services Supplies and Assistive devices</w:t>
            </w:r>
          </w:p>
          <w:p w14:paraId="0D322A8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Statements:</w:t>
            </w:r>
            <w:r w:rsidRPr="00D33A1E">
              <w:rPr>
                <w:rFonts w:eastAsia="Aptos" w:cs="Times New Roman"/>
                <w:sz w:val="22"/>
                <w:szCs w:val="22"/>
                <w:lang w:val="en-ZA" w:eastAsia="en-US"/>
              </w:rPr>
              <w:t xml:space="preserve"> 27 (1) The health establishment must have medical supplies, </w:t>
            </w:r>
            <w:r w:rsidRPr="00D33A1E">
              <w:rPr>
                <w:rFonts w:eastAsia="Aptos" w:cs="Aptos"/>
                <w:sz w:val="22"/>
                <w:szCs w:val="22"/>
                <w:lang w:val="en-ZA" w:eastAsia="en-US"/>
              </w:rPr>
              <w:t xml:space="preserve"> </w:t>
            </w:r>
            <w:r w:rsidRPr="00D33A1E">
              <w:rPr>
                <w:rFonts w:eastAsia="Aptos" w:cs="Times New Roman"/>
                <w:sz w:val="22"/>
                <w:szCs w:val="22"/>
                <w:lang w:val="en-ZA" w:eastAsia="en-US"/>
              </w:rPr>
              <w:t xml:space="preserve"> </w:t>
            </w:r>
            <w:r w:rsidRPr="00D33A1E">
              <w:rPr>
                <w:rFonts w:eastAsia="Aptos" w:cs="Times New Roman"/>
                <w:sz w:val="22"/>
                <w:szCs w:val="22"/>
                <w:lang w:val="en-ZA" w:eastAsia="en-US"/>
              </w:rPr>
              <w:lastRenderedPageBreak/>
              <w:t>rehabilitation services supplies and assistive devices  available for the provision of safe, quality care to users and promote rehabilitation and optimal function of users.</w:t>
            </w:r>
          </w:p>
          <w:p w14:paraId="589536C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 </w:t>
            </w: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the health establishment must-</w:t>
            </w:r>
          </w:p>
          <w:p w14:paraId="6F637F0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systems to manage and store medical supplies, rehabilitation</w:t>
            </w:r>
            <w:r w:rsidRPr="00D33A1E">
              <w:rPr>
                <w:rFonts w:eastAsia="Aptos" w:cs="Aptos"/>
                <w:sz w:val="22"/>
                <w:szCs w:val="22"/>
                <w:lang w:val="en-ZA" w:eastAsia="en-US"/>
              </w:rPr>
              <w:t xml:space="preserve"> </w:t>
            </w:r>
            <w:r w:rsidRPr="00D33A1E">
              <w:rPr>
                <w:rFonts w:eastAsia="Aptos" w:cs="Times New Roman"/>
                <w:sz w:val="22"/>
                <w:szCs w:val="22"/>
                <w:lang w:val="en-ZA" w:eastAsia="en-US"/>
              </w:rPr>
              <w:t>services supplies and assistive devices;</w:t>
            </w:r>
          </w:p>
          <w:p w14:paraId="570D30B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implement and maintain a stock control system for medical supplies, rehabilitation services supplies and assistive devices;</w:t>
            </w:r>
          </w:p>
          <w:p w14:paraId="3012E261"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sz w:val="22"/>
                <w:szCs w:val="22"/>
                <w:lang w:val="en-ZA" w:eastAsia="en-US"/>
              </w:rPr>
              <w:t xml:space="preserve">(c) have available medical supplies, rehabilitation services </w:t>
            </w:r>
            <w:r w:rsidRPr="00D33A1E">
              <w:rPr>
                <w:rFonts w:eastAsia="Aptos" w:cs="Aptos"/>
                <w:sz w:val="22"/>
                <w:szCs w:val="22"/>
                <w:lang w:val="en-ZA" w:eastAsia="en-US"/>
              </w:rPr>
              <w:t xml:space="preserve"> </w:t>
            </w:r>
            <w:r w:rsidRPr="00D33A1E">
              <w:rPr>
                <w:rFonts w:eastAsia="Aptos" w:cs="Times New Roman"/>
                <w:sz w:val="22"/>
                <w:szCs w:val="22"/>
                <w:lang w:val="en-ZA" w:eastAsia="en-US"/>
              </w:rPr>
              <w:t>supplies and assistive devices in stock that meet the minimum standards and specifications of statutory bodies or regulators;</w:t>
            </w:r>
          </w:p>
          <w:p w14:paraId="5F836D6A" w14:textId="77777777" w:rsidR="000D04EF" w:rsidRPr="00D33A1E" w:rsidRDefault="000D04EF" w:rsidP="000D04EF">
            <w:pPr>
              <w:rPr>
                <w:rFonts w:eastAsia="Aptos" w:cs="Arial"/>
                <w:b/>
                <w:bCs/>
                <w:lang w:eastAsia="en-US"/>
              </w:rPr>
            </w:pPr>
            <w:r w:rsidRPr="00D33A1E">
              <w:rPr>
                <w:rFonts w:eastAsia="Aptos" w:cs="Aptos"/>
                <w:sz w:val="22"/>
                <w:szCs w:val="22"/>
                <w:lang w:val="en-ZA" w:eastAsia="en-US"/>
              </w:rPr>
              <w:t>(d) ensure that assistive devices are issued by the relevant clinicians in accordance with scope of practice.</w:t>
            </w:r>
          </w:p>
        </w:tc>
        <w:tc>
          <w:tcPr>
            <w:tcW w:w="4536" w:type="dxa"/>
          </w:tcPr>
          <w:p w14:paraId="500974F7" w14:textId="77777777" w:rsidR="000D04EF" w:rsidRPr="00D33A1E" w:rsidRDefault="000D04EF" w:rsidP="000D04EF">
            <w:pPr>
              <w:rPr>
                <w:rFonts w:eastAsia="Aptos" w:cs="Arial"/>
                <w:lang w:eastAsia="en-US"/>
              </w:rPr>
            </w:pPr>
          </w:p>
        </w:tc>
        <w:tc>
          <w:tcPr>
            <w:tcW w:w="4961" w:type="dxa"/>
          </w:tcPr>
          <w:p w14:paraId="15D9126E" w14:textId="77777777" w:rsidR="000D04EF" w:rsidRPr="00D33A1E" w:rsidRDefault="000D04EF" w:rsidP="000D04EF">
            <w:pPr>
              <w:rPr>
                <w:rFonts w:eastAsia="Aptos" w:cs="Arial"/>
                <w:lang w:eastAsia="en-US"/>
              </w:rPr>
            </w:pPr>
          </w:p>
        </w:tc>
      </w:tr>
      <w:tr w:rsidR="000D04EF" w:rsidRPr="00D33A1E" w14:paraId="754DD0F2" w14:textId="77777777" w:rsidTr="00326018">
        <w:tc>
          <w:tcPr>
            <w:tcW w:w="5382" w:type="dxa"/>
          </w:tcPr>
          <w:p w14:paraId="2530A3E8"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28 Diagnostic services</w:t>
            </w:r>
          </w:p>
          <w:p w14:paraId="560CD11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28 </w:t>
            </w:r>
            <w:r w:rsidRPr="00D33A1E">
              <w:rPr>
                <w:rFonts w:eastAsia="Aptos" w:cs="Times New Roman"/>
                <w:sz w:val="22"/>
                <w:szCs w:val="22"/>
                <w:lang w:val="en-ZA" w:eastAsia="en-US"/>
              </w:rPr>
              <w:t>(1) The health establishment must provide diagnostic services that allows healthcare providers to detect, diagnose, and treat health conditions early and meet the needs of the users.</w:t>
            </w:r>
          </w:p>
          <w:p w14:paraId="44BD9EE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w:t>
            </w:r>
            <w:r w:rsidRPr="00D33A1E">
              <w:rPr>
                <w:rFonts w:eastAsia="Aptos" w:cs="Times New Roman"/>
                <w:sz w:val="22"/>
                <w:szCs w:val="22"/>
                <w:lang w:val="en-ZA" w:eastAsia="en-US"/>
              </w:rPr>
              <w:t xml:space="preserve"> (2) For the purposes of sub-regulation (1), a health establishment must- </w:t>
            </w:r>
          </w:p>
          <w:p w14:paraId="39866F1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(a) provide access to diagnostic services during operating hours;</w:t>
            </w:r>
          </w:p>
          <w:p w14:paraId="7561B24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protect users and health care personnel from exposure to ionising radiation exposure and hazardous materials when using diagnostic services;</w:t>
            </w:r>
          </w:p>
          <w:p w14:paraId="4000581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provide results of the diagnostic test or procedure within agreed timelines;</w:t>
            </w:r>
          </w:p>
          <w:p w14:paraId="683FE9D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(d) have systems in place to report and manage adverse incidents; </w:t>
            </w:r>
          </w:p>
          <w:p w14:paraId="76FA5FC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implement quality control measures to ensure accuracy of service provided;</w:t>
            </w:r>
          </w:p>
          <w:p w14:paraId="7E3A29F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(f) measure and evaluate the performance of the diagnostic services and proficiency testing; and</w:t>
            </w:r>
          </w:p>
          <w:p w14:paraId="1869CC1E" w14:textId="77777777" w:rsidR="000D04EF" w:rsidRPr="00D33A1E" w:rsidRDefault="000D04EF" w:rsidP="000D04EF">
            <w:pPr>
              <w:spacing w:line="276" w:lineRule="auto"/>
              <w:rPr>
                <w:rFonts w:eastAsia="Aptos" w:cs="Arial"/>
                <w:b/>
                <w:bCs/>
                <w:lang w:eastAsia="en-US"/>
              </w:rPr>
            </w:pPr>
            <w:r w:rsidRPr="00D33A1E">
              <w:rPr>
                <w:rFonts w:eastAsia="Aptos" w:cs="Aptos"/>
                <w:sz w:val="22"/>
                <w:szCs w:val="22"/>
                <w:lang w:val="en-ZA" w:eastAsia="en-US"/>
              </w:rPr>
              <w:t xml:space="preserve">(g) have Point-of-Care Testing (POCT)  guidelines (where in use). </w:t>
            </w:r>
          </w:p>
        </w:tc>
        <w:tc>
          <w:tcPr>
            <w:tcW w:w="4536" w:type="dxa"/>
          </w:tcPr>
          <w:p w14:paraId="2DC86275" w14:textId="77777777" w:rsidR="000D04EF" w:rsidRPr="00D33A1E" w:rsidRDefault="000D04EF" w:rsidP="000D04EF">
            <w:pPr>
              <w:rPr>
                <w:rFonts w:eastAsia="Aptos" w:cs="Arial"/>
                <w:lang w:eastAsia="en-US"/>
              </w:rPr>
            </w:pPr>
          </w:p>
        </w:tc>
        <w:tc>
          <w:tcPr>
            <w:tcW w:w="4961" w:type="dxa"/>
          </w:tcPr>
          <w:p w14:paraId="7B75E7E2" w14:textId="77777777" w:rsidR="000D04EF" w:rsidRPr="00D33A1E" w:rsidRDefault="000D04EF" w:rsidP="000D04EF">
            <w:pPr>
              <w:rPr>
                <w:rFonts w:eastAsia="Aptos" w:cs="Arial"/>
                <w:lang w:eastAsia="en-US"/>
              </w:rPr>
            </w:pPr>
          </w:p>
        </w:tc>
      </w:tr>
      <w:tr w:rsidR="000D04EF" w:rsidRPr="00D33A1E" w14:paraId="278181A7" w14:textId="77777777" w:rsidTr="00326018">
        <w:tc>
          <w:tcPr>
            <w:tcW w:w="5382" w:type="dxa"/>
          </w:tcPr>
          <w:p w14:paraId="4555B9E4"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29 Blood and Blood Products Services</w:t>
            </w:r>
          </w:p>
          <w:p w14:paraId="04C941EA" w14:textId="77777777" w:rsidR="000D04EF" w:rsidRPr="00D33A1E" w:rsidRDefault="000D04EF" w:rsidP="000D04EF">
            <w:pPr>
              <w:spacing w:line="276" w:lineRule="auto"/>
              <w:rPr>
                <w:rFonts w:eastAsia="Aptos" w:cs="Times New Roman"/>
                <w:sz w:val="22"/>
                <w:szCs w:val="22"/>
                <w:lang w:val="en-ZA" w:eastAsia="en-US"/>
              </w:rPr>
            </w:pPr>
            <w:bookmarkStart w:id="7" w:name="_Hlk225411137"/>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29 (1) The health establishment must ensure that blood services and blood products are accessible and available to promote optimal clinical outcomes in line with Chapter 8 of National Health Act no 61 of 2003.</w:t>
            </w:r>
          </w:p>
          <w:bookmarkEnd w:id="7"/>
          <w:p w14:paraId="37F2589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(2) For the purpose of sub-regulation (1) the health establishment must-</w:t>
            </w:r>
          </w:p>
          <w:p w14:paraId="673C931B" w14:textId="587AFED9"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(a) where blood and blood products are stored on-site, ensure appropriate storage and cold chain </w:t>
            </w:r>
            <w:r w:rsidRPr="00D33A1E">
              <w:rPr>
                <w:rFonts w:eastAsia="Aptos" w:cs="Times New Roman"/>
                <w:sz w:val="22"/>
                <w:szCs w:val="22"/>
                <w:lang w:val="en-ZA" w:eastAsia="en-US"/>
              </w:rPr>
              <w:lastRenderedPageBreak/>
              <w:t xml:space="preserve">management in accordance with applicable </w:t>
            </w:r>
            <w:r w:rsidR="000818CE" w:rsidRPr="000818CE">
              <w:rPr>
                <w:rFonts w:eastAsia="Aptos" w:cs="Times New Roman"/>
                <w:sz w:val="22"/>
                <w:szCs w:val="22"/>
                <w:highlight w:val="yellow"/>
                <w:lang w:val="en-ZA" w:eastAsia="en-US"/>
              </w:rPr>
              <w:t>guidelines</w:t>
            </w:r>
            <w:r w:rsidRPr="000818CE">
              <w:rPr>
                <w:rFonts w:eastAsia="Aptos" w:cs="Times New Roman"/>
                <w:sz w:val="22"/>
                <w:szCs w:val="22"/>
                <w:highlight w:val="yellow"/>
                <w:lang w:val="en-ZA" w:eastAsia="en-US"/>
              </w:rPr>
              <w:t>;</w:t>
            </w:r>
          </w:p>
          <w:p w14:paraId="19E46A3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(b) implement quality control procedures for blood services according to the guidelines of the relevant body; </w:t>
            </w:r>
          </w:p>
          <w:p w14:paraId="6ACCBAE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protect users and health care personnel from exposure to hazardous material and products;</w:t>
            </w:r>
          </w:p>
          <w:p w14:paraId="4B2AAC0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ensure that blood and blood products are handled and administered safely in accordance with recognised clinical guidelines;</w:t>
            </w:r>
            <w:r w:rsidRPr="00D33A1E" w:rsidDel="00B70EED">
              <w:rPr>
                <w:rFonts w:eastAsia="Aptos" w:cs="Times New Roman"/>
                <w:sz w:val="22"/>
                <w:szCs w:val="22"/>
                <w:lang w:val="en-ZA" w:eastAsia="en-US"/>
              </w:rPr>
              <w:t xml:space="preserve"> </w:t>
            </w:r>
          </w:p>
          <w:p w14:paraId="3F162AE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have systems in place to report and manage adverse blood reactions; and</w:t>
            </w:r>
          </w:p>
          <w:p w14:paraId="5079FAF9"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(f) report contractual breaches in the delivery of blood services to the relevant authority.</w:t>
            </w:r>
          </w:p>
        </w:tc>
        <w:tc>
          <w:tcPr>
            <w:tcW w:w="4536" w:type="dxa"/>
          </w:tcPr>
          <w:p w14:paraId="729E0EBA" w14:textId="77777777" w:rsidR="000D04EF" w:rsidRPr="00D33A1E" w:rsidRDefault="000D04EF" w:rsidP="000D04EF">
            <w:pPr>
              <w:rPr>
                <w:rFonts w:eastAsia="Aptos" w:cs="Arial"/>
                <w:lang w:eastAsia="en-US"/>
              </w:rPr>
            </w:pPr>
          </w:p>
        </w:tc>
        <w:tc>
          <w:tcPr>
            <w:tcW w:w="4961" w:type="dxa"/>
          </w:tcPr>
          <w:p w14:paraId="34A7E178" w14:textId="77777777" w:rsidR="000D04EF" w:rsidRPr="00D33A1E" w:rsidRDefault="000D04EF" w:rsidP="000D04EF">
            <w:pPr>
              <w:rPr>
                <w:rFonts w:eastAsia="Aptos" w:cs="Arial"/>
                <w:lang w:eastAsia="en-US"/>
              </w:rPr>
            </w:pPr>
          </w:p>
        </w:tc>
      </w:tr>
      <w:tr w:rsidR="000D04EF" w:rsidRPr="00D33A1E" w14:paraId="09DBFAB3" w14:textId="77777777" w:rsidTr="00326018">
        <w:tc>
          <w:tcPr>
            <w:tcW w:w="5382" w:type="dxa"/>
          </w:tcPr>
          <w:p w14:paraId="2E579AF7"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30 Sterilisation Services</w:t>
            </w:r>
          </w:p>
          <w:p w14:paraId="71E0D18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30 (1) The health establishment must ensure that decontamination</w:t>
            </w:r>
          </w:p>
          <w:p w14:paraId="58D2A25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and sterilisation services are available and effective.</w:t>
            </w:r>
          </w:p>
          <w:p w14:paraId="23AB11A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(2) For the purpose of sub-regulation (1) the health establishment must-</w:t>
            </w:r>
          </w:p>
          <w:p w14:paraId="74D17EB9" w14:textId="77777777" w:rsidR="000D04EF" w:rsidRPr="00D33A1E" w:rsidRDefault="000D04EF" w:rsidP="000D04EF">
            <w:pPr>
              <w:rPr>
                <w:rFonts w:eastAsia="Aptos" w:cs="Times New Roman"/>
                <w:sz w:val="22"/>
                <w:szCs w:val="22"/>
                <w:lang w:val="en-ZA" w:eastAsia="en-US"/>
              </w:rPr>
            </w:pPr>
            <w:r w:rsidRPr="00D33A1E">
              <w:rPr>
                <w:rFonts w:eastAsia="Aptos" w:cs="Times New Roman"/>
                <w:sz w:val="22"/>
                <w:szCs w:val="22"/>
                <w:lang w:val="en-ZA" w:eastAsia="en-US"/>
              </w:rPr>
              <w:t>(a) have systems in place to sterilize/decontaminate equipment/medical devices and supplies;</w:t>
            </w:r>
          </w:p>
          <w:p w14:paraId="23F7627D" w14:textId="77777777" w:rsidR="000D04EF" w:rsidRPr="00D33A1E" w:rsidRDefault="000D04EF" w:rsidP="000D04EF">
            <w:pPr>
              <w:rPr>
                <w:rFonts w:eastAsia="Aptos" w:cs="Times New Roman"/>
                <w:sz w:val="22"/>
                <w:szCs w:val="22"/>
                <w:lang w:val="en-ZA" w:eastAsia="en-US"/>
              </w:rPr>
            </w:pPr>
            <w:r w:rsidRPr="00D33A1E">
              <w:rPr>
                <w:rFonts w:eastAsia="Aptos" w:cs="Times New Roman"/>
                <w:sz w:val="22"/>
                <w:szCs w:val="22"/>
                <w:lang w:val="en-ZA" w:eastAsia="en-US"/>
              </w:rPr>
              <w:t>(b) have clear lines of accountability for the decontamination cycle;</w:t>
            </w:r>
          </w:p>
          <w:p w14:paraId="648A22CF" w14:textId="77777777" w:rsidR="000D04EF" w:rsidRPr="00D33A1E" w:rsidRDefault="000D04EF" w:rsidP="000D04EF">
            <w:pPr>
              <w:rPr>
                <w:rFonts w:eastAsia="Aptos" w:cs="Times New Roman"/>
                <w:sz w:val="22"/>
                <w:szCs w:val="22"/>
                <w:lang w:val="en-ZA" w:eastAsia="en-US"/>
              </w:rPr>
            </w:pPr>
            <w:r w:rsidRPr="00D33A1E">
              <w:rPr>
                <w:rFonts w:eastAsia="Aptos" w:cs="Times New Roman"/>
                <w:sz w:val="22"/>
                <w:szCs w:val="22"/>
                <w:lang w:val="en-ZA" w:eastAsia="en-US"/>
              </w:rPr>
              <w:t>(c) monitor  decontamination/sterilisation process and failures; and</w:t>
            </w:r>
          </w:p>
          <w:p w14:paraId="22665164" w14:textId="77777777" w:rsidR="000D04EF" w:rsidRPr="00D33A1E" w:rsidRDefault="000D04EF" w:rsidP="000D04EF">
            <w:pPr>
              <w:rPr>
                <w:rFonts w:eastAsia="Aptos" w:cs="Arial"/>
                <w:b/>
                <w:bCs/>
                <w:lang w:eastAsia="en-US"/>
              </w:rPr>
            </w:pPr>
            <w:r w:rsidRPr="00D33A1E">
              <w:rPr>
                <w:rFonts w:eastAsia="Aptos" w:cs="Times New Roman"/>
                <w:sz w:val="22"/>
                <w:szCs w:val="22"/>
                <w:lang w:val="en-ZA" w:eastAsia="en-US"/>
              </w:rPr>
              <w:t>(d) monitor the outsourced service (where applicable).</w:t>
            </w:r>
          </w:p>
        </w:tc>
        <w:tc>
          <w:tcPr>
            <w:tcW w:w="4536" w:type="dxa"/>
          </w:tcPr>
          <w:p w14:paraId="4A4D3C46" w14:textId="77777777" w:rsidR="000D04EF" w:rsidRPr="00D33A1E" w:rsidRDefault="000D04EF" w:rsidP="000D04EF">
            <w:pPr>
              <w:rPr>
                <w:rFonts w:eastAsia="Aptos" w:cs="Arial"/>
                <w:lang w:eastAsia="en-US"/>
              </w:rPr>
            </w:pPr>
          </w:p>
        </w:tc>
        <w:tc>
          <w:tcPr>
            <w:tcW w:w="4961" w:type="dxa"/>
          </w:tcPr>
          <w:p w14:paraId="100E2632" w14:textId="77777777" w:rsidR="000D04EF" w:rsidRPr="00D33A1E" w:rsidRDefault="000D04EF" w:rsidP="000D04EF">
            <w:pPr>
              <w:rPr>
                <w:rFonts w:eastAsia="Aptos" w:cs="Arial"/>
                <w:lang w:eastAsia="en-US"/>
              </w:rPr>
            </w:pPr>
          </w:p>
        </w:tc>
      </w:tr>
      <w:tr w:rsidR="000D04EF" w:rsidRPr="00D33A1E" w14:paraId="29146660" w14:textId="77777777" w:rsidTr="00326018">
        <w:tc>
          <w:tcPr>
            <w:tcW w:w="5382" w:type="dxa"/>
          </w:tcPr>
          <w:p w14:paraId="572D50C9" w14:textId="77777777" w:rsidR="000D04EF" w:rsidRPr="00D33A1E" w:rsidRDefault="000D04EF" w:rsidP="00BF2360">
            <w:pPr>
              <w:spacing w:line="276" w:lineRule="auto"/>
              <w:rPr>
                <w:rFonts w:eastAsia="Aptos" w:cs="Aptos"/>
                <w:b/>
                <w:bCs/>
                <w:sz w:val="22"/>
                <w:szCs w:val="22"/>
                <w:lang w:val="en-ZA" w:eastAsia="en-US"/>
              </w:rPr>
            </w:pPr>
            <w:r w:rsidRPr="00D33A1E">
              <w:rPr>
                <w:rFonts w:eastAsia="Aptos" w:cs="Aptos"/>
                <w:b/>
                <w:bCs/>
                <w:sz w:val="22"/>
                <w:szCs w:val="22"/>
                <w:lang w:val="en-ZA" w:eastAsia="en-US"/>
              </w:rPr>
              <w:lastRenderedPageBreak/>
              <w:t xml:space="preserve">Regulation Title: 31 Social Work Services in Healthcare </w:t>
            </w:r>
          </w:p>
          <w:p w14:paraId="00810BDC" w14:textId="77777777" w:rsidR="000D04EF" w:rsidRPr="00D33A1E" w:rsidRDefault="000D04EF" w:rsidP="00BF2360">
            <w:pPr>
              <w:spacing w:line="276" w:lineRule="auto"/>
              <w:rPr>
                <w:rFonts w:eastAsia="Aptos" w:cs="Aptos"/>
                <w:sz w:val="22"/>
                <w:szCs w:val="22"/>
                <w:lang w:val="en-ZA" w:eastAsia="en-US"/>
              </w:rPr>
            </w:pPr>
            <w:r w:rsidRPr="00D33A1E">
              <w:rPr>
                <w:rFonts w:eastAsia="Aptos" w:cs="Aptos"/>
                <w:b/>
                <w:bCs/>
                <w:sz w:val="22"/>
                <w:szCs w:val="22"/>
                <w:lang w:val="en-ZA" w:eastAsia="en-US"/>
              </w:rPr>
              <w:t xml:space="preserve">Regulation Statement: </w:t>
            </w:r>
            <w:r w:rsidRPr="00D33A1E">
              <w:rPr>
                <w:rFonts w:eastAsia="Aptos" w:cs="Aptos"/>
                <w:sz w:val="22"/>
                <w:szCs w:val="22"/>
                <w:lang w:val="en-ZA" w:eastAsia="en-US"/>
              </w:rPr>
              <w:t>31(1) The health establishment must provide healthcare Social Work  services to users as part of rehabilitation and social support services, in order to promote holistic care, continuity of care, patient safety, and optimal health outcomes.</w:t>
            </w:r>
          </w:p>
          <w:p w14:paraId="71B0AC6B" w14:textId="77777777" w:rsidR="000D04EF" w:rsidRPr="00D33A1E" w:rsidRDefault="000D04EF" w:rsidP="00BF2360">
            <w:pPr>
              <w:spacing w:line="276" w:lineRule="auto"/>
              <w:rPr>
                <w:rFonts w:eastAsia="Aptos" w:cs="Aptos"/>
                <w:sz w:val="22"/>
                <w:szCs w:val="22"/>
                <w:lang w:val="en-ZA" w:eastAsia="en-US"/>
              </w:rPr>
            </w:pPr>
            <w:r w:rsidRPr="00D33A1E">
              <w:rPr>
                <w:rFonts w:eastAsia="Aptos" w:cs="Aptos"/>
                <w:b/>
                <w:bCs/>
                <w:sz w:val="22"/>
                <w:szCs w:val="22"/>
                <w:lang w:val="en-ZA" w:eastAsia="en-US"/>
              </w:rPr>
              <w:t>Sub</w:t>
            </w:r>
            <w:r w:rsidRPr="00D33A1E">
              <w:rPr>
                <w:rFonts w:eastAsia="Aptos" w:cs="Times New Roman"/>
                <w:b/>
                <w:bCs/>
                <w:sz w:val="22"/>
                <w:szCs w:val="22"/>
                <w:lang w:val="en-ZA" w:eastAsia="en-US"/>
              </w:rPr>
              <w:noBreakHyphen/>
            </w:r>
            <w:r w:rsidRPr="00D33A1E">
              <w:rPr>
                <w:rFonts w:eastAsia="Aptos" w:cs="Aptos"/>
                <w:b/>
                <w:bCs/>
                <w:sz w:val="22"/>
                <w:szCs w:val="22"/>
                <w:lang w:val="en-ZA" w:eastAsia="en-US"/>
              </w:rPr>
              <w:t xml:space="preserve">Regulation Statements:  </w:t>
            </w:r>
            <w:r w:rsidRPr="00D33A1E">
              <w:rPr>
                <w:rFonts w:eastAsia="Aptos" w:cs="Aptos"/>
                <w:sz w:val="22"/>
                <w:szCs w:val="22"/>
                <w:lang w:val="en-ZA" w:eastAsia="en-US"/>
              </w:rPr>
              <w:t>(2) For the purposes of sub</w:t>
            </w:r>
            <w:r w:rsidRPr="00D33A1E">
              <w:rPr>
                <w:rFonts w:eastAsia="Aptos" w:cs="Times New Roman"/>
                <w:sz w:val="22"/>
                <w:szCs w:val="22"/>
                <w:lang w:val="en-ZA" w:eastAsia="en-US"/>
              </w:rPr>
              <w:noBreakHyphen/>
            </w:r>
            <w:r w:rsidRPr="00D33A1E">
              <w:rPr>
                <w:rFonts w:eastAsia="Aptos" w:cs="Aptos"/>
                <w:sz w:val="22"/>
                <w:szCs w:val="22"/>
                <w:lang w:val="en-ZA" w:eastAsia="en-US"/>
              </w:rPr>
              <w:t>regulation (1), a health establishment must-</w:t>
            </w:r>
          </w:p>
          <w:p w14:paraId="21D3793D" w14:textId="77777777" w:rsidR="000D04EF" w:rsidRPr="00D33A1E" w:rsidRDefault="000D04EF" w:rsidP="00BF2360">
            <w:pPr>
              <w:spacing w:line="276" w:lineRule="auto"/>
              <w:rPr>
                <w:rFonts w:eastAsia="Aptos" w:cs="Aptos"/>
                <w:sz w:val="22"/>
                <w:szCs w:val="22"/>
                <w:lang w:val="en-ZA" w:eastAsia="en-US"/>
              </w:rPr>
            </w:pPr>
            <w:r w:rsidRPr="00D33A1E">
              <w:rPr>
                <w:rFonts w:eastAsia="Aptos" w:cs="Aptos"/>
                <w:sz w:val="22"/>
                <w:szCs w:val="22"/>
                <w:lang w:val="en-ZA" w:eastAsia="en-US"/>
              </w:rPr>
              <w:t>(a) provide healthcare social work and social auxiliary work services consistent with the scope and scale of services;</w:t>
            </w:r>
          </w:p>
          <w:p w14:paraId="48DEDB9F" w14:textId="680DABCA" w:rsidR="000D04EF" w:rsidRPr="00D33A1E" w:rsidRDefault="000D04EF" w:rsidP="00BF2360">
            <w:pPr>
              <w:spacing w:line="276" w:lineRule="auto"/>
              <w:rPr>
                <w:rFonts w:eastAsia="Aptos" w:cs="Aptos"/>
                <w:sz w:val="22"/>
                <w:szCs w:val="22"/>
                <w:lang w:val="en-ZA" w:eastAsia="en-US"/>
              </w:rPr>
            </w:pPr>
            <w:r w:rsidRPr="00D33A1E">
              <w:rPr>
                <w:rFonts w:eastAsia="Aptos" w:cs="Aptos"/>
                <w:sz w:val="22"/>
                <w:szCs w:val="22"/>
                <w:lang w:val="en-ZA" w:eastAsia="en-US"/>
              </w:rPr>
              <w:t>(b) provide biopsychosocial assessment, complex intervention, care co</w:t>
            </w:r>
            <w:r w:rsidR="00B34B63">
              <w:rPr>
                <w:rFonts w:eastAsia="Aptos" w:cs="Aptos"/>
                <w:sz w:val="22"/>
                <w:szCs w:val="22"/>
                <w:lang w:val="en-ZA" w:eastAsia="en-US"/>
              </w:rPr>
              <w:t>-</w:t>
            </w:r>
            <w:r w:rsidRPr="00D33A1E">
              <w:rPr>
                <w:rFonts w:eastAsia="Aptos" w:cs="Aptos"/>
                <w:sz w:val="22"/>
                <w:szCs w:val="22"/>
                <w:lang w:val="en-ZA" w:eastAsia="en-US"/>
              </w:rPr>
              <w:t>ordination, and clinical decision</w:t>
            </w:r>
            <w:r w:rsidRPr="00D33A1E">
              <w:rPr>
                <w:rFonts w:eastAsia="Aptos" w:cs="Times New Roman"/>
                <w:sz w:val="22"/>
                <w:szCs w:val="22"/>
                <w:lang w:val="en-ZA" w:eastAsia="en-US"/>
              </w:rPr>
              <w:noBreakHyphen/>
            </w:r>
            <w:r w:rsidRPr="00D33A1E">
              <w:rPr>
                <w:rFonts w:eastAsia="Aptos" w:cs="Aptos"/>
                <w:sz w:val="22"/>
                <w:szCs w:val="22"/>
                <w:lang w:val="en-ZA" w:eastAsia="en-US"/>
              </w:rPr>
              <w:t>making for users;</w:t>
            </w:r>
          </w:p>
          <w:p w14:paraId="289C4106" w14:textId="77777777" w:rsidR="000D04EF" w:rsidRPr="00D33A1E" w:rsidRDefault="000D04EF" w:rsidP="00BF2360">
            <w:pPr>
              <w:spacing w:line="276" w:lineRule="auto"/>
              <w:rPr>
                <w:rFonts w:eastAsia="Aptos" w:cs="Aptos"/>
                <w:sz w:val="22"/>
                <w:szCs w:val="22"/>
                <w:lang w:val="en-ZA" w:eastAsia="en-US"/>
              </w:rPr>
            </w:pPr>
            <w:r w:rsidRPr="00D33A1E">
              <w:rPr>
                <w:rFonts w:eastAsia="Aptos" w:cs="Aptos"/>
                <w:sz w:val="22"/>
                <w:szCs w:val="22"/>
                <w:lang w:val="en-ZA" w:eastAsia="en-US"/>
              </w:rPr>
              <w:t xml:space="preserve">(c) conduct assessment of users’ rehabilitation and social support needs; </w:t>
            </w:r>
          </w:p>
          <w:p w14:paraId="0D7749FE" w14:textId="77777777" w:rsidR="000D04EF" w:rsidRPr="00D33A1E" w:rsidRDefault="000D04EF" w:rsidP="00BF2360">
            <w:pPr>
              <w:spacing w:line="276" w:lineRule="auto"/>
              <w:rPr>
                <w:rFonts w:eastAsia="Aptos" w:cs="Aptos"/>
                <w:sz w:val="22"/>
                <w:szCs w:val="22"/>
                <w:lang w:val="en-ZA" w:eastAsia="en-US"/>
              </w:rPr>
            </w:pPr>
            <w:r w:rsidRPr="00D33A1E">
              <w:rPr>
                <w:rFonts w:eastAsia="Aptos" w:cs="Aptos"/>
                <w:sz w:val="22"/>
                <w:szCs w:val="22"/>
                <w:lang w:val="en-ZA" w:eastAsia="en-US"/>
              </w:rPr>
              <w:t>(e) provide  direct social support services to users;</w:t>
            </w:r>
          </w:p>
          <w:p w14:paraId="345E3B57" w14:textId="77777777" w:rsidR="000D04EF" w:rsidRPr="00D33A1E" w:rsidRDefault="000D04EF" w:rsidP="00BF2360">
            <w:pPr>
              <w:spacing w:line="276" w:lineRule="auto"/>
              <w:rPr>
                <w:rFonts w:eastAsia="Aptos" w:cs="Aptos"/>
                <w:sz w:val="22"/>
                <w:szCs w:val="22"/>
                <w:lang w:val="en-ZA" w:eastAsia="en-US"/>
              </w:rPr>
            </w:pPr>
            <w:r w:rsidRPr="00D33A1E">
              <w:rPr>
                <w:rFonts w:eastAsia="Aptos" w:cs="Aptos"/>
                <w:sz w:val="22"/>
                <w:szCs w:val="22"/>
                <w:lang w:val="en-ZA" w:eastAsia="en-US"/>
              </w:rPr>
              <w:t>(f) ensure timely referral, linkage, tracing, and follow</w:t>
            </w:r>
            <w:r w:rsidRPr="00D33A1E">
              <w:rPr>
                <w:rFonts w:eastAsia="Aptos" w:cs="Times New Roman"/>
                <w:sz w:val="22"/>
                <w:szCs w:val="22"/>
                <w:lang w:val="en-ZA" w:eastAsia="en-US"/>
              </w:rPr>
              <w:noBreakHyphen/>
            </w:r>
            <w:r w:rsidRPr="00D33A1E">
              <w:rPr>
                <w:rFonts w:eastAsia="Aptos" w:cs="Aptos"/>
                <w:sz w:val="22"/>
                <w:szCs w:val="22"/>
                <w:lang w:val="en-ZA" w:eastAsia="en-US"/>
              </w:rPr>
              <w:t>up to  internal and external social support;</w:t>
            </w:r>
          </w:p>
          <w:p w14:paraId="1E173693" w14:textId="77777777" w:rsidR="000D04EF" w:rsidRPr="00D33A1E" w:rsidRDefault="000D04EF" w:rsidP="00BF2360">
            <w:pPr>
              <w:spacing w:line="276" w:lineRule="auto"/>
              <w:rPr>
                <w:rFonts w:eastAsia="Aptos" w:cs="Aptos"/>
                <w:sz w:val="22"/>
                <w:szCs w:val="22"/>
                <w:lang w:val="en-ZA" w:eastAsia="en-US"/>
              </w:rPr>
            </w:pPr>
            <w:r w:rsidRPr="00D33A1E">
              <w:rPr>
                <w:rFonts w:eastAsia="Aptos" w:cs="Aptos"/>
                <w:sz w:val="22"/>
                <w:szCs w:val="22"/>
                <w:lang w:val="en-ZA" w:eastAsia="en-US"/>
              </w:rPr>
              <w:t>(g) ensure that discharge planning and continuity of care is implemented; and</w:t>
            </w:r>
          </w:p>
          <w:p w14:paraId="7B956131" w14:textId="77777777" w:rsidR="000D04EF" w:rsidRPr="00D33A1E" w:rsidRDefault="000D04EF" w:rsidP="00BF2360">
            <w:pPr>
              <w:spacing w:line="276" w:lineRule="auto"/>
              <w:rPr>
                <w:rFonts w:eastAsia="Aptos" w:cs="Arial"/>
                <w:b/>
                <w:bCs/>
                <w:lang w:eastAsia="en-US"/>
              </w:rPr>
            </w:pPr>
            <w:r w:rsidRPr="00D33A1E">
              <w:rPr>
                <w:rFonts w:eastAsia="Aptos" w:cs="Aptos"/>
                <w:sz w:val="22"/>
                <w:szCs w:val="22"/>
                <w:lang w:val="en-ZA" w:eastAsia="en-US"/>
              </w:rPr>
              <w:t>(h) prioritise social work  services for vulnerable users.</w:t>
            </w:r>
          </w:p>
        </w:tc>
        <w:tc>
          <w:tcPr>
            <w:tcW w:w="4536" w:type="dxa"/>
          </w:tcPr>
          <w:p w14:paraId="2CBE930E" w14:textId="77777777" w:rsidR="000D04EF" w:rsidRPr="00D33A1E" w:rsidRDefault="000D04EF" w:rsidP="000D04EF">
            <w:pPr>
              <w:rPr>
                <w:rFonts w:eastAsia="Aptos" w:cs="Arial"/>
                <w:lang w:eastAsia="en-US"/>
              </w:rPr>
            </w:pPr>
          </w:p>
        </w:tc>
        <w:tc>
          <w:tcPr>
            <w:tcW w:w="4961" w:type="dxa"/>
          </w:tcPr>
          <w:p w14:paraId="261C5C79" w14:textId="77777777" w:rsidR="000D04EF" w:rsidRPr="00D33A1E" w:rsidRDefault="000D04EF" w:rsidP="000D04EF">
            <w:pPr>
              <w:rPr>
                <w:rFonts w:eastAsia="Aptos" w:cs="Arial"/>
                <w:lang w:eastAsia="en-US"/>
              </w:rPr>
            </w:pPr>
          </w:p>
        </w:tc>
      </w:tr>
      <w:tr w:rsidR="000D04EF" w:rsidRPr="00D33A1E" w14:paraId="6150243B" w14:textId="77777777" w:rsidTr="00326018">
        <w:tc>
          <w:tcPr>
            <w:tcW w:w="5382" w:type="dxa"/>
          </w:tcPr>
          <w:p w14:paraId="0EA8313E" w14:textId="77777777" w:rsidR="000D04EF" w:rsidRPr="00D33A1E" w:rsidRDefault="000D04EF" w:rsidP="000D04EF">
            <w:pPr>
              <w:spacing w:line="360" w:lineRule="auto"/>
              <w:rPr>
                <w:rFonts w:eastAsia="Aptos" w:cs="Arial"/>
                <w:b/>
                <w:bCs/>
                <w:lang w:eastAsia="en-US"/>
              </w:rPr>
            </w:pPr>
            <w:r w:rsidRPr="00D33A1E">
              <w:rPr>
                <w:rFonts w:eastAsia="Aptos" w:cs="Times New Roman"/>
                <w:b/>
                <w:bCs/>
                <w:sz w:val="22"/>
                <w:szCs w:val="22"/>
                <w:lang w:val="en-ZA" w:eastAsia="en-US"/>
              </w:rPr>
              <w:t>CHAPTER 7: OPERATIONAL MANAGEMENT</w:t>
            </w:r>
          </w:p>
        </w:tc>
        <w:tc>
          <w:tcPr>
            <w:tcW w:w="4536" w:type="dxa"/>
          </w:tcPr>
          <w:p w14:paraId="6575CC1F" w14:textId="77777777" w:rsidR="000D04EF" w:rsidRPr="00D33A1E" w:rsidRDefault="000D04EF" w:rsidP="000D04EF">
            <w:pPr>
              <w:rPr>
                <w:rFonts w:eastAsia="Aptos" w:cs="Arial"/>
                <w:lang w:eastAsia="en-US"/>
              </w:rPr>
            </w:pPr>
          </w:p>
        </w:tc>
        <w:tc>
          <w:tcPr>
            <w:tcW w:w="4961" w:type="dxa"/>
          </w:tcPr>
          <w:p w14:paraId="7324AEBB" w14:textId="77777777" w:rsidR="000D04EF" w:rsidRPr="00D33A1E" w:rsidRDefault="000D04EF" w:rsidP="000D04EF">
            <w:pPr>
              <w:rPr>
                <w:rFonts w:eastAsia="Aptos" w:cs="Arial"/>
                <w:lang w:eastAsia="en-US"/>
              </w:rPr>
            </w:pPr>
          </w:p>
        </w:tc>
      </w:tr>
      <w:tr w:rsidR="000D04EF" w:rsidRPr="00D33A1E" w14:paraId="5A0CF37A" w14:textId="77777777" w:rsidTr="00326018">
        <w:tc>
          <w:tcPr>
            <w:tcW w:w="5382" w:type="dxa"/>
          </w:tcPr>
          <w:p w14:paraId="5A8AE5A4" w14:textId="77777777" w:rsidR="000D04EF" w:rsidRPr="00D33A1E" w:rsidRDefault="000D04EF" w:rsidP="000D04EF">
            <w:pPr>
              <w:spacing w:line="360" w:lineRule="auto"/>
              <w:rPr>
                <w:rFonts w:eastAsia="Aptos" w:cs="Times New Roman"/>
                <w:b/>
                <w:bCs/>
                <w:sz w:val="22"/>
                <w:szCs w:val="22"/>
                <w:lang w:val="en-ZA" w:eastAsia="en-US"/>
              </w:rPr>
            </w:pPr>
            <w:r w:rsidRPr="00D33A1E">
              <w:rPr>
                <w:rFonts w:eastAsia="Aptos" w:cs="Times New Roman"/>
                <w:b/>
                <w:bCs/>
                <w:sz w:val="22"/>
                <w:szCs w:val="22"/>
                <w:lang w:val="en-ZA" w:eastAsia="en-US"/>
              </w:rPr>
              <w:lastRenderedPageBreak/>
              <w:t>Regulation title: 32 Information Management Systems</w:t>
            </w:r>
          </w:p>
          <w:p w14:paraId="1D98A83C" w14:textId="77777777" w:rsidR="000D04EF" w:rsidRPr="00D33A1E" w:rsidRDefault="000D04EF" w:rsidP="000D04EF">
            <w:pPr>
              <w:spacing w:line="276" w:lineRule="auto"/>
              <w:rPr>
                <w:rFonts w:eastAsia="Aptos" w:cs="Aptos"/>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32 (1) The health establishment must have interoperable information and Communication Technology Service systems and software programmes that will meet operational needs and secure health establishment data.</w:t>
            </w:r>
          </w:p>
          <w:p w14:paraId="047ACF9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 regulation statement:</w:t>
            </w:r>
            <w:r w:rsidRPr="00D33A1E">
              <w:rPr>
                <w:rFonts w:eastAsia="Aptos" w:cs="Times New Roman"/>
                <w:sz w:val="22"/>
                <w:szCs w:val="22"/>
                <w:lang w:val="en-ZA" w:eastAsia="en-US"/>
              </w:rPr>
              <w:t xml:space="preserve"> (2) For the purposes of sub-regulation (1) the health establishment must-</w:t>
            </w:r>
          </w:p>
          <w:p w14:paraId="767B1D8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policies, procedures and guidelines for Information and Communication Technology service;</w:t>
            </w:r>
          </w:p>
          <w:p w14:paraId="6C29F64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have the required Information and Communication Technology equipment, networks and programmes to facilitate implementation of daily operations;</w:t>
            </w:r>
          </w:p>
          <w:p w14:paraId="20D8E67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have Information and Communication Technology systems that can be integrated and interoperable with other relevant organisations systems;</w:t>
            </w:r>
          </w:p>
          <w:p w14:paraId="3C0E4EC1" w14:textId="77777777" w:rsidR="000D04EF" w:rsidRPr="00D33A1E" w:rsidRDefault="000D04EF" w:rsidP="000D04EF">
            <w:pPr>
              <w:spacing w:line="276" w:lineRule="auto"/>
              <w:rPr>
                <w:rFonts w:eastAsia="Aptos" w:cs="Aptos"/>
                <w:sz w:val="22"/>
                <w:szCs w:val="22"/>
                <w:lang w:val="en-ZA" w:eastAsia="en-US"/>
              </w:rPr>
            </w:pPr>
            <w:r w:rsidRPr="00D33A1E">
              <w:rPr>
                <w:rFonts w:eastAsia="Aptos" w:cs="Times New Roman"/>
                <w:sz w:val="22"/>
                <w:szCs w:val="22"/>
                <w:lang w:val="en-ZA" w:eastAsia="en-US"/>
              </w:rPr>
              <w:t>(d) have systems to secure data, cybersecurity, back up  data and keep software updated</w:t>
            </w:r>
            <w:r w:rsidRPr="00D33A1E">
              <w:rPr>
                <w:rFonts w:eastAsia="Aptos" w:cs="Aptos"/>
                <w:sz w:val="22"/>
                <w:szCs w:val="22"/>
                <w:lang w:val="en-ZA" w:eastAsia="en-US"/>
              </w:rPr>
              <w:t>; and</w:t>
            </w:r>
          </w:p>
          <w:p w14:paraId="0BF00EB2" w14:textId="77777777" w:rsidR="000D04EF" w:rsidRPr="00D33A1E" w:rsidRDefault="000D04EF" w:rsidP="000D04EF">
            <w:pPr>
              <w:spacing w:line="276" w:lineRule="auto"/>
              <w:rPr>
                <w:rFonts w:eastAsia="Aptos" w:cs="Arial"/>
                <w:b/>
                <w:bCs/>
                <w:lang w:eastAsia="en-US"/>
              </w:rPr>
            </w:pPr>
            <w:r w:rsidRPr="00D33A1E">
              <w:rPr>
                <w:rFonts w:eastAsia="Aptos" w:cs="Aptos"/>
                <w:sz w:val="22"/>
                <w:szCs w:val="22"/>
                <w:lang w:val="en-ZA" w:eastAsia="en-US"/>
              </w:rPr>
              <w:t>(e) have technical support staff available.</w:t>
            </w:r>
          </w:p>
        </w:tc>
        <w:tc>
          <w:tcPr>
            <w:tcW w:w="4536" w:type="dxa"/>
          </w:tcPr>
          <w:p w14:paraId="13706835" w14:textId="77777777" w:rsidR="000D04EF" w:rsidRPr="00D33A1E" w:rsidRDefault="000D04EF" w:rsidP="000D04EF">
            <w:pPr>
              <w:rPr>
                <w:rFonts w:eastAsia="Aptos" w:cs="Arial"/>
                <w:lang w:eastAsia="en-US"/>
              </w:rPr>
            </w:pPr>
          </w:p>
        </w:tc>
        <w:tc>
          <w:tcPr>
            <w:tcW w:w="4961" w:type="dxa"/>
          </w:tcPr>
          <w:p w14:paraId="5A5A6CCE" w14:textId="77777777" w:rsidR="000D04EF" w:rsidRPr="00D33A1E" w:rsidRDefault="000D04EF" w:rsidP="000D04EF">
            <w:pPr>
              <w:rPr>
                <w:rFonts w:eastAsia="Aptos" w:cs="Arial"/>
                <w:lang w:eastAsia="en-US"/>
              </w:rPr>
            </w:pPr>
          </w:p>
        </w:tc>
      </w:tr>
      <w:tr w:rsidR="000D04EF" w:rsidRPr="00D33A1E" w14:paraId="714CD984" w14:textId="77777777" w:rsidTr="00326018">
        <w:tc>
          <w:tcPr>
            <w:tcW w:w="5382" w:type="dxa"/>
          </w:tcPr>
          <w:p w14:paraId="3DE56497" w14:textId="3194724F"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32 (3) The health establishments must establish systems to produce accurate and timely </w:t>
            </w:r>
            <w:r w:rsidR="00042F1F" w:rsidRPr="00042F1F">
              <w:rPr>
                <w:rFonts w:eastAsia="Aptos" w:cs="Times New Roman"/>
                <w:sz w:val="22"/>
                <w:szCs w:val="22"/>
                <w:highlight w:val="yellow"/>
                <w:lang w:val="en-ZA" w:eastAsia="en-US"/>
              </w:rPr>
              <w:t>data</w:t>
            </w:r>
            <w:r w:rsidRPr="00D33A1E">
              <w:rPr>
                <w:rFonts w:eastAsia="Aptos" w:cs="Times New Roman"/>
                <w:sz w:val="22"/>
                <w:szCs w:val="22"/>
                <w:lang w:val="en-ZA" w:eastAsia="en-US"/>
              </w:rPr>
              <w:t xml:space="preserve"> to inform managerial and clinical decision making on the safety, reliability, effectiveness and efficiency of the health care services provided by the establishment.</w:t>
            </w:r>
          </w:p>
          <w:p w14:paraId="2450C375" w14:textId="77777777" w:rsidR="000D04EF" w:rsidRPr="00D33A1E" w:rsidRDefault="000D04EF" w:rsidP="000D04EF">
            <w:pPr>
              <w:tabs>
                <w:tab w:val="left" w:pos="2410"/>
              </w:tabs>
              <w:spacing w:line="276" w:lineRule="auto"/>
              <w:rPr>
                <w:rFonts w:eastAsia="Aptos" w:cs="Times New Roman"/>
                <w:sz w:val="22"/>
                <w:szCs w:val="22"/>
                <w:lang w:val="en-US" w:eastAsia="en-US"/>
              </w:rPr>
            </w:pPr>
            <w:r w:rsidRPr="00D33A1E">
              <w:rPr>
                <w:rFonts w:eastAsia="Aptos" w:cs="Times New Roman"/>
                <w:b/>
                <w:bCs/>
                <w:sz w:val="22"/>
                <w:szCs w:val="22"/>
                <w:lang w:val="en-ZA" w:eastAsia="en-US"/>
              </w:rPr>
              <w:lastRenderedPageBreak/>
              <w:t>Sub-regulation statements</w:t>
            </w:r>
            <w:r w:rsidRPr="00D33A1E">
              <w:rPr>
                <w:rFonts w:eastAsia="Aptos" w:cs="Times New Roman"/>
                <w:sz w:val="22"/>
                <w:szCs w:val="22"/>
                <w:lang w:val="en-ZA" w:eastAsia="en-US"/>
              </w:rPr>
              <w:t>:</w:t>
            </w:r>
            <w:r w:rsidRPr="00D33A1E">
              <w:rPr>
                <w:rFonts w:eastAsia="Aptos" w:cs="Times New Roman"/>
                <w:sz w:val="22"/>
                <w:szCs w:val="22"/>
                <w:lang w:val="en-US" w:eastAsia="en-US"/>
              </w:rPr>
              <w:t xml:space="preserve"> (4) For the purposes of sub-regulation (3), a health establishment or responsible authority must-</w:t>
            </w:r>
          </w:p>
          <w:p w14:paraId="496727BC" w14:textId="77777777" w:rsidR="000D04EF" w:rsidRPr="00D33A1E" w:rsidRDefault="000D04EF" w:rsidP="000D04EF">
            <w:pPr>
              <w:tabs>
                <w:tab w:val="left" w:pos="2410"/>
              </w:tabs>
              <w:spacing w:line="259" w:lineRule="auto"/>
              <w:rPr>
                <w:rFonts w:eastAsia="Aptos" w:cs="Times New Roman"/>
                <w:sz w:val="22"/>
                <w:szCs w:val="22"/>
                <w:lang w:val="en-US" w:eastAsia="en-US"/>
              </w:rPr>
            </w:pPr>
            <w:r w:rsidRPr="00D33A1E">
              <w:rPr>
                <w:rFonts w:eastAsia="Aptos" w:cs="Times New Roman"/>
                <w:sz w:val="22"/>
                <w:szCs w:val="22"/>
                <w:lang w:val="en-US" w:eastAsia="en-US"/>
              </w:rPr>
              <w:t>(a) have access to and utilise the National Health Information System;</w:t>
            </w:r>
          </w:p>
          <w:p w14:paraId="156C3509" w14:textId="77777777" w:rsidR="000D04EF" w:rsidRPr="00D33A1E" w:rsidRDefault="000D04EF" w:rsidP="000D04EF">
            <w:pPr>
              <w:tabs>
                <w:tab w:val="left" w:pos="2410"/>
              </w:tabs>
              <w:spacing w:line="259" w:lineRule="auto"/>
              <w:rPr>
                <w:rFonts w:eastAsia="Aptos" w:cs="Times New Roman"/>
                <w:sz w:val="22"/>
                <w:szCs w:val="22"/>
                <w:lang w:val="en-US" w:eastAsia="en-US"/>
              </w:rPr>
            </w:pPr>
            <w:r w:rsidRPr="00D33A1E">
              <w:rPr>
                <w:rFonts w:eastAsia="Aptos" w:cs="Times New Roman"/>
                <w:sz w:val="22"/>
                <w:szCs w:val="22"/>
                <w:lang w:val="en-US" w:eastAsia="en-US"/>
              </w:rPr>
              <w:t>(b) designate an individual for overall management of information;</w:t>
            </w:r>
          </w:p>
          <w:p w14:paraId="733B56A9" w14:textId="77777777" w:rsidR="000D04EF" w:rsidRPr="00D33A1E" w:rsidRDefault="000D04EF" w:rsidP="000D04EF">
            <w:pPr>
              <w:tabs>
                <w:tab w:val="left" w:pos="2410"/>
              </w:tabs>
              <w:spacing w:line="259" w:lineRule="auto"/>
              <w:rPr>
                <w:rFonts w:eastAsia="Aptos" w:cs="Times New Roman"/>
                <w:sz w:val="22"/>
                <w:szCs w:val="22"/>
                <w:lang w:val="en-US" w:eastAsia="en-US"/>
              </w:rPr>
            </w:pPr>
            <w:r w:rsidRPr="00D33A1E">
              <w:rPr>
                <w:rFonts w:eastAsia="Aptos" w:cs="Times New Roman"/>
                <w:sz w:val="22"/>
                <w:szCs w:val="22"/>
                <w:lang w:val="en-US" w:eastAsia="en-US"/>
              </w:rPr>
              <w:t>(c) train health care personnel on data collection, data verification and recording of information in line with information management policy and plan;</w:t>
            </w:r>
          </w:p>
          <w:p w14:paraId="46787AAB" w14:textId="77777777" w:rsidR="000D04EF" w:rsidRPr="00D33A1E" w:rsidRDefault="000D04EF" w:rsidP="000D04EF">
            <w:pPr>
              <w:tabs>
                <w:tab w:val="left" w:pos="2410"/>
              </w:tabs>
              <w:spacing w:line="259" w:lineRule="auto"/>
              <w:rPr>
                <w:rFonts w:eastAsia="Aptos" w:cs="Times New Roman"/>
                <w:sz w:val="22"/>
                <w:szCs w:val="22"/>
                <w:lang w:val="en-US" w:eastAsia="en-US"/>
              </w:rPr>
            </w:pPr>
            <w:r w:rsidRPr="00D33A1E">
              <w:rPr>
                <w:rFonts w:eastAsia="Aptos" w:cs="Times New Roman"/>
                <w:sz w:val="22"/>
                <w:szCs w:val="22"/>
                <w:lang w:val="en-US" w:eastAsia="en-US"/>
              </w:rPr>
              <w:t>(d) verify and report information in terms of sections 79(1)(d) and 79(2)(b) of the National Health Act;</w:t>
            </w:r>
          </w:p>
          <w:p w14:paraId="1706D3E8" w14:textId="77777777" w:rsidR="000D04EF" w:rsidRPr="00D33A1E" w:rsidRDefault="000D04EF" w:rsidP="000D04EF">
            <w:pPr>
              <w:tabs>
                <w:tab w:val="left" w:pos="2410"/>
              </w:tabs>
              <w:spacing w:line="259" w:lineRule="auto"/>
              <w:rPr>
                <w:rFonts w:eastAsia="Aptos" w:cs="Times New Roman"/>
                <w:sz w:val="22"/>
                <w:szCs w:val="22"/>
                <w:lang w:val="en-US" w:eastAsia="en-US"/>
              </w:rPr>
            </w:pPr>
            <w:r w:rsidRPr="00D33A1E">
              <w:rPr>
                <w:rFonts w:eastAsia="Aptos" w:cs="Times New Roman"/>
                <w:sz w:val="22"/>
                <w:szCs w:val="22"/>
                <w:lang w:val="en-US" w:eastAsia="en-US"/>
              </w:rPr>
              <w:t xml:space="preserve">(e) analyse, use and report on managerial, clinical and administrative information of the health establishment to facilitate efficient service delivery; and </w:t>
            </w:r>
          </w:p>
          <w:p w14:paraId="7BFC2054" w14:textId="77777777" w:rsidR="000D04EF" w:rsidRPr="00D33A1E" w:rsidRDefault="000D04EF" w:rsidP="000D04EF">
            <w:pPr>
              <w:tabs>
                <w:tab w:val="left" w:pos="2410"/>
              </w:tabs>
              <w:spacing w:line="259" w:lineRule="auto"/>
              <w:rPr>
                <w:rFonts w:eastAsia="Aptos" w:cs="Arial"/>
                <w:b/>
                <w:bCs/>
                <w:lang w:eastAsia="en-US"/>
              </w:rPr>
            </w:pPr>
            <w:r w:rsidRPr="00D33A1E">
              <w:rPr>
                <w:rFonts w:eastAsia="Aptos" w:cs="Times New Roman"/>
                <w:sz w:val="22"/>
                <w:szCs w:val="22"/>
                <w:lang w:val="en-US" w:eastAsia="en-US"/>
              </w:rPr>
              <w:t>(f) implement contingency plans to address and recover from the</w:t>
            </w:r>
            <w:r w:rsidRPr="00D33A1E">
              <w:rPr>
                <w:rFonts w:eastAsia="Aptos" w:cs="Times New Roman"/>
                <w:sz w:val="22"/>
                <w:szCs w:val="22"/>
                <w:lang w:val="en-ZA" w:eastAsia="en-US"/>
              </w:rPr>
              <w:t xml:space="preserve"> </w:t>
            </w:r>
            <w:r w:rsidRPr="00D33A1E">
              <w:rPr>
                <w:rFonts w:eastAsia="Aptos" w:cs="Times New Roman"/>
                <w:sz w:val="22"/>
                <w:szCs w:val="22"/>
                <w:lang w:val="en-US" w:eastAsia="en-US"/>
              </w:rPr>
              <w:t>impact of any failure in equipment, networks and information technology systems.</w:t>
            </w:r>
          </w:p>
        </w:tc>
        <w:tc>
          <w:tcPr>
            <w:tcW w:w="4536" w:type="dxa"/>
          </w:tcPr>
          <w:p w14:paraId="12712770" w14:textId="77777777" w:rsidR="000D04EF" w:rsidRPr="00D33A1E" w:rsidRDefault="000D04EF" w:rsidP="000D04EF">
            <w:pPr>
              <w:rPr>
                <w:rFonts w:eastAsia="Aptos" w:cs="Arial"/>
                <w:lang w:eastAsia="en-US"/>
              </w:rPr>
            </w:pPr>
          </w:p>
        </w:tc>
        <w:tc>
          <w:tcPr>
            <w:tcW w:w="4961" w:type="dxa"/>
          </w:tcPr>
          <w:p w14:paraId="1A029CFA" w14:textId="77777777" w:rsidR="000D04EF" w:rsidRPr="00D33A1E" w:rsidRDefault="000D04EF" w:rsidP="000D04EF">
            <w:pPr>
              <w:rPr>
                <w:rFonts w:eastAsia="Aptos" w:cs="Arial"/>
                <w:lang w:eastAsia="en-US"/>
              </w:rPr>
            </w:pPr>
          </w:p>
        </w:tc>
      </w:tr>
      <w:tr w:rsidR="000D04EF" w:rsidRPr="00D33A1E" w14:paraId="5BE1ACEC" w14:textId="77777777" w:rsidTr="00326018">
        <w:tc>
          <w:tcPr>
            <w:tcW w:w="5382" w:type="dxa"/>
          </w:tcPr>
          <w:p w14:paraId="2C418DB9" w14:textId="77777777" w:rsidR="000D04EF" w:rsidRPr="00D33A1E" w:rsidRDefault="000D04EF" w:rsidP="000D04EF">
            <w:pPr>
              <w:spacing w:line="360"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33 Financial Management</w:t>
            </w:r>
          </w:p>
          <w:p w14:paraId="69E6B3E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33 (1). The health establishment expenditure is managed and monitored against the approved budget to ensure efficiency within legal frameworks and prescripts.  </w:t>
            </w:r>
          </w:p>
          <w:p w14:paraId="529123A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 regulation statement:</w:t>
            </w:r>
            <w:r w:rsidRPr="00D33A1E">
              <w:rPr>
                <w:rFonts w:eastAsia="Aptos" w:cs="Times New Roman"/>
                <w:sz w:val="22"/>
                <w:szCs w:val="22"/>
                <w:lang w:val="en-ZA" w:eastAsia="en-US"/>
              </w:rPr>
              <w:t xml:space="preserve"> (2) For the purposes of sub-regulation (1) the health establishment must-</w:t>
            </w:r>
          </w:p>
          <w:p w14:paraId="25126D8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(a) have auditing and reporting processes that are consistent with legislation and accepted accounting principles;</w:t>
            </w:r>
          </w:p>
          <w:p w14:paraId="4EFFB68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monitor monthly expenditure against allocated budget or other grants;</w:t>
            </w:r>
          </w:p>
          <w:p w14:paraId="430AD3A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evaluate variances in expenditure, report  variances to the relevant authority or structure  and establish reasons for variations; </w:t>
            </w:r>
          </w:p>
          <w:p w14:paraId="1167843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(d) report interruptions in the delivery of health care services due to  deterioration in the financial position of the health establishment; </w:t>
            </w:r>
          </w:p>
          <w:p w14:paraId="4B4903A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implement actions to mitigate interruptions and report these to the relevant authority;</w:t>
            </w:r>
          </w:p>
          <w:p w14:paraId="4B1F1D2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(f) have mechanisms to keep level of debtors to a minimum; and</w:t>
            </w:r>
          </w:p>
          <w:p w14:paraId="03AE2D13" w14:textId="77777777" w:rsidR="000D04EF" w:rsidRPr="00D33A1E" w:rsidRDefault="000D04EF" w:rsidP="000D04EF">
            <w:pPr>
              <w:spacing w:line="276" w:lineRule="auto"/>
              <w:rPr>
                <w:rFonts w:eastAsia="Aptos" w:cs="Arial"/>
                <w:b/>
                <w:bCs/>
                <w:lang w:eastAsia="en-US"/>
              </w:rPr>
            </w:pPr>
            <w:r w:rsidRPr="00D33A1E">
              <w:rPr>
                <w:rFonts w:eastAsia="Aptos" w:cs="Aptos"/>
                <w:sz w:val="22"/>
                <w:szCs w:val="22"/>
                <w:lang w:val="en-ZA" w:eastAsia="en-US"/>
              </w:rPr>
              <w:t>(g) have systems to report accruals over time.</w:t>
            </w:r>
          </w:p>
        </w:tc>
        <w:tc>
          <w:tcPr>
            <w:tcW w:w="4536" w:type="dxa"/>
          </w:tcPr>
          <w:p w14:paraId="4C03E574" w14:textId="77777777" w:rsidR="000D04EF" w:rsidRPr="00D33A1E" w:rsidRDefault="000D04EF" w:rsidP="000D04EF">
            <w:pPr>
              <w:rPr>
                <w:rFonts w:eastAsia="Aptos" w:cs="Arial"/>
                <w:lang w:eastAsia="en-US"/>
              </w:rPr>
            </w:pPr>
          </w:p>
        </w:tc>
        <w:tc>
          <w:tcPr>
            <w:tcW w:w="4961" w:type="dxa"/>
          </w:tcPr>
          <w:p w14:paraId="4C866BC8" w14:textId="77777777" w:rsidR="000D04EF" w:rsidRPr="00D33A1E" w:rsidRDefault="000D04EF" w:rsidP="000D04EF">
            <w:pPr>
              <w:rPr>
                <w:rFonts w:eastAsia="Aptos" w:cs="Arial"/>
                <w:lang w:eastAsia="en-US"/>
              </w:rPr>
            </w:pPr>
          </w:p>
        </w:tc>
      </w:tr>
      <w:tr w:rsidR="000D04EF" w:rsidRPr="00D33A1E" w14:paraId="5862F26C" w14:textId="77777777" w:rsidTr="00326018">
        <w:tc>
          <w:tcPr>
            <w:tcW w:w="5382" w:type="dxa"/>
          </w:tcPr>
          <w:p w14:paraId="7BB3CEB2" w14:textId="77777777" w:rsidR="000D04EF" w:rsidRPr="00D33A1E" w:rsidRDefault="000D04EF" w:rsidP="0050687A">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34 Supply Chain and Asset Management</w:t>
            </w:r>
          </w:p>
          <w:p w14:paraId="3C0D714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34 (1). The health establishment must ensure that equipment, furniture and supplies are ordered, received, stored and managed to facilitate uninterrupted delivery of health care services.  </w:t>
            </w:r>
          </w:p>
          <w:p w14:paraId="6ABECEB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 regulation statement:</w:t>
            </w:r>
            <w:r w:rsidRPr="00D33A1E">
              <w:rPr>
                <w:rFonts w:eastAsia="Aptos" w:cs="Times New Roman"/>
                <w:sz w:val="22"/>
                <w:szCs w:val="22"/>
                <w:lang w:val="en-ZA" w:eastAsia="en-US"/>
              </w:rPr>
              <w:t xml:space="preserve"> (2) For the purposes of sub-regulation (1) the health establishment must-</w:t>
            </w:r>
          </w:p>
          <w:p w14:paraId="350CFEE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establish and implement structures</w:t>
            </w:r>
            <w:r w:rsidRPr="00D33A1E">
              <w:rPr>
                <w:rFonts w:eastAsia="Aptos" w:cs="Times New Roman"/>
                <w:sz w:val="16"/>
                <w:szCs w:val="16"/>
                <w:lang w:val="en-ZA" w:eastAsia="en-US"/>
              </w:rPr>
              <w:t xml:space="preserve"> </w:t>
            </w:r>
            <w:r w:rsidRPr="00D33A1E">
              <w:rPr>
                <w:rFonts w:eastAsia="Aptos" w:cs="Times New Roman"/>
                <w:sz w:val="22"/>
                <w:szCs w:val="22"/>
                <w:lang w:val="en-ZA" w:eastAsia="en-US"/>
              </w:rPr>
              <w:t>to oversee supply chain processes;</w:t>
            </w:r>
          </w:p>
          <w:p w14:paraId="4E9A9A4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(b) develop, implement and monitor internal control measures for supply chain processes;</w:t>
            </w:r>
          </w:p>
          <w:p w14:paraId="1C1DC43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implement processes that comply with relevant legislation for the procurement and supply of equipment and supplies; </w:t>
            </w:r>
          </w:p>
          <w:p w14:paraId="3CFDB98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ensure that service providers and suppliers are accredited and comply with the relevant legislation and prescripts;</w:t>
            </w:r>
          </w:p>
          <w:p w14:paraId="6CC2CBA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monitor service providers’ compliance with the service level agreements/contractual obligations and report any breaches to the relevant authority;</w:t>
            </w:r>
          </w:p>
          <w:p w14:paraId="080AAEB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(f) monitor stock-outs and lead times for the procurement of medical and non-medical equipment and supplies;</w:t>
            </w:r>
          </w:p>
          <w:p w14:paraId="1CDC6FA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(g) have a fixed asset register which is routinely maintained; and</w:t>
            </w:r>
          </w:p>
          <w:p w14:paraId="4FB33739"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 xml:space="preserve">(h) conduct inventory of  health establishment assets; losses must be reported and investigated. </w:t>
            </w:r>
          </w:p>
        </w:tc>
        <w:tc>
          <w:tcPr>
            <w:tcW w:w="4536" w:type="dxa"/>
          </w:tcPr>
          <w:p w14:paraId="295A6757" w14:textId="77777777" w:rsidR="000D04EF" w:rsidRPr="00D33A1E" w:rsidRDefault="000D04EF" w:rsidP="000D04EF">
            <w:pPr>
              <w:rPr>
                <w:rFonts w:eastAsia="Aptos" w:cs="Arial"/>
                <w:lang w:eastAsia="en-US"/>
              </w:rPr>
            </w:pPr>
          </w:p>
        </w:tc>
        <w:tc>
          <w:tcPr>
            <w:tcW w:w="4961" w:type="dxa"/>
          </w:tcPr>
          <w:p w14:paraId="0C3B4216" w14:textId="77777777" w:rsidR="000D04EF" w:rsidRPr="00D33A1E" w:rsidRDefault="000D04EF" w:rsidP="000D04EF">
            <w:pPr>
              <w:rPr>
                <w:rFonts w:eastAsia="Aptos" w:cs="Arial"/>
                <w:lang w:eastAsia="en-US"/>
              </w:rPr>
            </w:pPr>
          </w:p>
        </w:tc>
      </w:tr>
      <w:tr w:rsidR="000D04EF" w:rsidRPr="00D33A1E" w14:paraId="57722CFB" w14:textId="77777777" w:rsidTr="00326018">
        <w:tc>
          <w:tcPr>
            <w:tcW w:w="5382" w:type="dxa"/>
          </w:tcPr>
          <w:p w14:paraId="66FB0E6C" w14:textId="77777777" w:rsidR="000D04EF" w:rsidRPr="00D33A1E" w:rsidRDefault="000D04EF" w:rsidP="000044AB">
            <w:pPr>
              <w:spacing w:line="276" w:lineRule="auto"/>
              <w:rPr>
                <w:rFonts w:eastAsia="Aptos" w:cs="Arial"/>
                <w:b/>
                <w:bCs/>
                <w:lang w:eastAsia="en-US"/>
              </w:rPr>
            </w:pPr>
            <w:r w:rsidRPr="00D33A1E">
              <w:rPr>
                <w:rFonts w:eastAsia="Aptos" w:cs="Times New Roman"/>
                <w:b/>
                <w:bCs/>
                <w:sz w:val="22"/>
                <w:szCs w:val="22"/>
                <w:lang w:val="en-ZA" w:eastAsia="en-US"/>
              </w:rPr>
              <w:t>CHAPTER 8: LEADERSHIP, GOVERNANCE AND HUMAN RESOURCE</w:t>
            </w:r>
          </w:p>
        </w:tc>
        <w:tc>
          <w:tcPr>
            <w:tcW w:w="4536" w:type="dxa"/>
          </w:tcPr>
          <w:p w14:paraId="4865225F" w14:textId="77777777" w:rsidR="000D04EF" w:rsidRPr="00D33A1E" w:rsidRDefault="000D04EF" w:rsidP="000D04EF">
            <w:pPr>
              <w:rPr>
                <w:rFonts w:eastAsia="Aptos" w:cs="Arial"/>
                <w:lang w:eastAsia="en-US"/>
              </w:rPr>
            </w:pPr>
          </w:p>
        </w:tc>
        <w:tc>
          <w:tcPr>
            <w:tcW w:w="4961" w:type="dxa"/>
          </w:tcPr>
          <w:p w14:paraId="6AE467E2" w14:textId="77777777" w:rsidR="000D04EF" w:rsidRPr="00D33A1E" w:rsidRDefault="000D04EF" w:rsidP="000D04EF">
            <w:pPr>
              <w:rPr>
                <w:rFonts w:eastAsia="Aptos" w:cs="Arial"/>
                <w:lang w:eastAsia="en-US"/>
              </w:rPr>
            </w:pPr>
          </w:p>
        </w:tc>
      </w:tr>
      <w:tr w:rsidR="000D04EF" w:rsidRPr="00D33A1E" w14:paraId="5D405DA9" w14:textId="77777777" w:rsidTr="00326018">
        <w:tc>
          <w:tcPr>
            <w:tcW w:w="5382" w:type="dxa"/>
          </w:tcPr>
          <w:p w14:paraId="523477F8" w14:textId="77777777" w:rsidR="000D04EF" w:rsidRPr="00D33A1E" w:rsidRDefault="000D04EF" w:rsidP="000D04EF">
            <w:pPr>
              <w:spacing w:line="360" w:lineRule="auto"/>
              <w:rPr>
                <w:rFonts w:eastAsia="Aptos" w:cs="Times New Roman"/>
                <w:b/>
                <w:bCs/>
                <w:sz w:val="22"/>
                <w:szCs w:val="22"/>
                <w:lang w:val="en-ZA" w:eastAsia="en-US"/>
              </w:rPr>
            </w:pPr>
            <w:bookmarkStart w:id="8" w:name="_Hlk224303608"/>
            <w:r w:rsidRPr="00D33A1E">
              <w:rPr>
                <w:rFonts w:eastAsia="Aptos" w:cs="Times New Roman"/>
                <w:b/>
                <w:bCs/>
                <w:sz w:val="22"/>
                <w:szCs w:val="22"/>
                <w:lang w:val="en-ZA" w:eastAsia="en-US"/>
              </w:rPr>
              <w:t xml:space="preserve">Regulation title: </w:t>
            </w:r>
            <w:bookmarkEnd w:id="8"/>
            <w:r w:rsidRPr="00D33A1E">
              <w:rPr>
                <w:rFonts w:eastAsia="Aptos" w:cs="Times New Roman"/>
                <w:b/>
                <w:bCs/>
                <w:sz w:val="22"/>
                <w:szCs w:val="22"/>
                <w:lang w:val="en-ZA" w:eastAsia="en-US"/>
              </w:rPr>
              <w:t>35 Leadership and Governance</w:t>
            </w:r>
          </w:p>
          <w:p w14:paraId="41EB365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35 (1) The health establishment must have a functional leadership structure appointed in line with Public Services Act of 1994 or other legislative mandate as the case may be to manage its operations.</w:t>
            </w:r>
          </w:p>
          <w:p w14:paraId="778F975E" w14:textId="77777777" w:rsidR="000D04EF" w:rsidRPr="00D33A1E" w:rsidRDefault="000D04EF" w:rsidP="000D04EF">
            <w:pPr>
              <w:spacing w:line="276" w:lineRule="auto"/>
              <w:rPr>
                <w:rFonts w:eastAsia="Aptos" w:cs="Times New Roman"/>
                <w:sz w:val="22"/>
                <w:szCs w:val="22"/>
                <w:lang w:val="en-ZA" w:eastAsia="en-US"/>
              </w:rPr>
            </w:pPr>
            <w:bookmarkStart w:id="9" w:name="_Hlk222406334"/>
            <w:r w:rsidRPr="00D33A1E">
              <w:rPr>
                <w:rFonts w:eastAsia="Aptos" w:cs="Times New Roman"/>
                <w:b/>
                <w:bCs/>
                <w:sz w:val="22"/>
                <w:szCs w:val="22"/>
                <w:lang w:val="en-ZA" w:eastAsia="en-US"/>
              </w:rPr>
              <w:lastRenderedPageBreak/>
              <w:t>Sub-regulation statement</w:t>
            </w:r>
            <w:r w:rsidRPr="00D33A1E">
              <w:rPr>
                <w:rFonts w:eastAsia="Aptos" w:cs="Times New Roman"/>
                <w:sz w:val="22"/>
                <w:szCs w:val="22"/>
                <w:lang w:val="en-ZA" w:eastAsia="en-US"/>
              </w:rPr>
              <w:t>: (2) For the purpose of sub-regulation (1) the health establishment must-</w:t>
            </w:r>
          </w:p>
          <w:bookmarkEnd w:id="9"/>
          <w:p w14:paraId="5AAED81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a functional management structure;</w:t>
            </w:r>
          </w:p>
          <w:p w14:paraId="00A5271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have an approved strategic plan, annual performance plan and  operational plan aligned to relevant authority’s priorities or business entity’s plan;</w:t>
            </w:r>
          </w:p>
          <w:p w14:paraId="5AD9D92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monitor the targets set out in the operational plan and implement corrective measures where required;</w:t>
            </w:r>
          </w:p>
          <w:p w14:paraId="726B81C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(d) participate in the budget allocation forum convened by relevant authority;  </w:t>
            </w:r>
          </w:p>
          <w:p w14:paraId="215FB7B2" w14:textId="77777777" w:rsidR="000D04EF" w:rsidRPr="00D33A1E" w:rsidRDefault="000D04EF" w:rsidP="000D04EF">
            <w:pPr>
              <w:rPr>
                <w:rFonts w:eastAsia="Aptos" w:cs="Times New Roman"/>
                <w:sz w:val="22"/>
                <w:szCs w:val="22"/>
                <w:lang w:val="en-ZA" w:eastAsia="en-US"/>
              </w:rPr>
            </w:pPr>
            <w:r w:rsidRPr="00D33A1E">
              <w:rPr>
                <w:rFonts w:eastAsia="Aptos" w:cs="Times New Roman"/>
                <w:sz w:val="22"/>
                <w:szCs w:val="22"/>
                <w:lang w:val="en-ZA" w:eastAsia="en-US"/>
              </w:rPr>
              <w:t>(e) conduct regular management meetings and address operational needs; and</w:t>
            </w:r>
          </w:p>
          <w:p w14:paraId="7016E4E1" w14:textId="77777777" w:rsidR="000D04EF" w:rsidRPr="00D33A1E" w:rsidRDefault="000D04EF" w:rsidP="000D04EF">
            <w:pPr>
              <w:rPr>
                <w:rFonts w:eastAsia="Aptos" w:cs="Arial"/>
                <w:b/>
                <w:bCs/>
                <w:lang w:eastAsia="en-US"/>
              </w:rPr>
            </w:pPr>
            <w:r w:rsidRPr="00D33A1E">
              <w:rPr>
                <w:rFonts w:eastAsia="Aptos" w:cs="Times New Roman"/>
                <w:sz w:val="22"/>
                <w:szCs w:val="22"/>
                <w:lang w:val="en-ZA" w:eastAsia="en-US"/>
              </w:rPr>
              <w:t>(f) have delegations of authority for human resources, finance and supply chain and monitor the implementation of the delegations.</w:t>
            </w:r>
          </w:p>
        </w:tc>
        <w:tc>
          <w:tcPr>
            <w:tcW w:w="4536" w:type="dxa"/>
          </w:tcPr>
          <w:p w14:paraId="395774F0" w14:textId="77777777" w:rsidR="000D04EF" w:rsidRPr="00D33A1E" w:rsidRDefault="000D04EF" w:rsidP="000D04EF">
            <w:pPr>
              <w:rPr>
                <w:rFonts w:eastAsia="Aptos" w:cs="Arial"/>
                <w:lang w:eastAsia="en-US"/>
              </w:rPr>
            </w:pPr>
          </w:p>
        </w:tc>
        <w:tc>
          <w:tcPr>
            <w:tcW w:w="4961" w:type="dxa"/>
          </w:tcPr>
          <w:p w14:paraId="6B2DF5EC" w14:textId="77777777" w:rsidR="000D04EF" w:rsidRPr="00D33A1E" w:rsidRDefault="000D04EF" w:rsidP="000D04EF">
            <w:pPr>
              <w:rPr>
                <w:rFonts w:eastAsia="Aptos" w:cs="Arial"/>
                <w:lang w:eastAsia="en-US"/>
              </w:rPr>
            </w:pPr>
          </w:p>
        </w:tc>
      </w:tr>
      <w:tr w:rsidR="000D04EF" w:rsidRPr="00D33A1E" w14:paraId="0134F3DC" w14:textId="77777777" w:rsidTr="00326018">
        <w:tc>
          <w:tcPr>
            <w:tcW w:w="5382" w:type="dxa"/>
          </w:tcPr>
          <w:p w14:paraId="0956113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Regulations Statement:</w:t>
            </w:r>
            <w:r w:rsidRPr="00D33A1E">
              <w:rPr>
                <w:rFonts w:eastAsia="Aptos" w:cs="Times New Roman"/>
                <w:sz w:val="22"/>
                <w:szCs w:val="22"/>
                <w:lang w:val="en-ZA" w:eastAsia="en-US"/>
              </w:rPr>
              <w:t xml:space="preserve"> 35 (3) The health establishment governance structure must be appointed in line with applicable legislation; section 41(4) or 42 the National Health Act 61, 2003 or other authoritative mandate as the case may be.</w:t>
            </w:r>
          </w:p>
          <w:p w14:paraId="45DEFEE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w:t>
            </w:r>
            <w:r w:rsidRPr="00D33A1E">
              <w:rPr>
                <w:rFonts w:eastAsia="Aptos" w:cs="Times New Roman"/>
                <w:sz w:val="22"/>
                <w:szCs w:val="22"/>
                <w:lang w:val="en-ZA" w:eastAsia="en-US"/>
              </w:rPr>
              <w:t>: (4) For the purpose of sub-regulation (3) the health establishment must-</w:t>
            </w:r>
          </w:p>
          <w:p w14:paraId="16E616A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a functional board or oversight committee, as the case may be;</w:t>
            </w:r>
          </w:p>
          <w:p w14:paraId="13FEB3C5" w14:textId="77777777" w:rsidR="000D04EF" w:rsidRPr="00D33A1E" w:rsidRDefault="000D04EF" w:rsidP="000D04EF">
            <w:pPr>
              <w:spacing w:line="276" w:lineRule="auto"/>
              <w:rPr>
                <w:rFonts w:eastAsia="Aptos" w:cs="Times New Roman"/>
                <w:sz w:val="22"/>
                <w:szCs w:val="22"/>
                <w:lang w:val="en-ZA" w:eastAsia="en-US"/>
              </w:rPr>
            </w:pPr>
            <w:bookmarkStart w:id="10" w:name="_Hlk223512583"/>
            <w:r w:rsidRPr="00D33A1E">
              <w:rPr>
                <w:rFonts w:eastAsia="Aptos" w:cs="Times New Roman"/>
                <w:sz w:val="22"/>
                <w:szCs w:val="22"/>
                <w:lang w:val="en-ZA" w:eastAsia="en-US"/>
              </w:rPr>
              <w:t xml:space="preserve">(b) provide the board or committee with information </w:t>
            </w:r>
            <w:bookmarkEnd w:id="10"/>
            <w:r w:rsidRPr="00D33A1E">
              <w:rPr>
                <w:rFonts w:eastAsia="Aptos" w:cs="Times New Roman"/>
                <w:sz w:val="22"/>
                <w:szCs w:val="22"/>
                <w:lang w:val="en-ZA" w:eastAsia="en-US"/>
              </w:rPr>
              <w:t>on:</w:t>
            </w:r>
          </w:p>
          <w:p w14:paraId="2D43568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(i) strategic plan, annual performance plans and annual operational plans implementation;</w:t>
            </w:r>
          </w:p>
          <w:p w14:paraId="0B5B10E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 implementation of the clinical governance frameworks/programmes including quality of care and patient safety;</w:t>
            </w:r>
          </w:p>
          <w:p w14:paraId="3FA30BB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(iii) reported clinical health outcomes, patient-reported outcomes and patient reported experience;</w:t>
            </w:r>
          </w:p>
          <w:p w14:paraId="6D0510A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(iv) organisational risks identified and mitigation plans;</w:t>
            </w:r>
          </w:p>
          <w:p w14:paraId="765C676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(v) the financial sustainability of the health establishment;</w:t>
            </w:r>
          </w:p>
          <w:p w14:paraId="51F6BB3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(vi) human resources management and development, and occupational health and safety; and</w:t>
            </w:r>
          </w:p>
          <w:p w14:paraId="0178479B"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(c) implement recommendations from the board or committee.</w:t>
            </w:r>
          </w:p>
        </w:tc>
        <w:tc>
          <w:tcPr>
            <w:tcW w:w="4536" w:type="dxa"/>
          </w:tcPr>
          <w:p w14:paraId="7E5FC1FF" w14:textId="77777777" w:rsidR="000D04EF" w:rsidRPr="00D33A1E" w:rsidRDefault="000D04EF" w:rsidP="000D04EF">
            <w:pPr>
              <w:rPr>
                <w:rFonts w:eastAsia="Aptos" w:cs="Arial"/>
                <w:lang w:eastAsia="en-US"/>
              </w:rPr>
            </w:pPr>
          </w:p>
        </w:tc>
        <w:tc>
          <w:tcPr>
            <w:tcW w:w="4961" w:type="dxa"/>
          </w:tcPr>
          <w:p w14:paraId="3AA258C9" w14:textId="77777777" w:rsidR="000D04EF" w:rsidRPr="00D33A1E" w:rsidRDefault="000D04EF" w:rsidP="000D04EF">
            <w:pPr>
              <w:rPr>
                <w:rFonts w:eastAsia="Aptos" w:cs="Arial"/>
                <w:lang w:eastAsia="en-US"/>
              </w:rPr>
            </w:pPr>
          </w:p>
        </w:tc>
      </w:tr>
      <w:tr w:rsidR="000D04EF" w:rsidRPr="00D33A1E" w14:paraId="57846DC4" w14:textId="77777777" w:rsidTr="00326018">
        <w:tc>
          <w:tcPr>
            <w:tcW w:w="5382" w:type="dxa"/>
          </w:tcPr>
          <w:p w14:paraId="677BF46B"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36 Human Resources Management</w:t>
            </w:r>
          </w:p>
          <w:p w14:paraId="195CA13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36 (1) The health establishment must have systems in place to manage health care personnel in line with relevant legislation, policies and guidelines. </w:t>
            </w:r>
          </w:p>
          <w:p w14:paraId="11A2637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the health establishment must, as appropriate to the type and size of the establishment-</w:t>
            </w:r>
          </w:p>
          <w:p w14:paraId="1DCEE94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human resources policies and regulations that comply with relevant legislation;</w:t>
            </w:r>
          </w:p>
          <w:p w14:paraId="25D83E3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adhere to documented recruitment and selection procedures;</w:t>
            </w:r>
          </w:p>
          <w:p w14:paraId="73D742E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(c) have and implement a human resource plan that meets the needs of the health establishment;</w:t>
            </w:r>
          </w:p>
          <w:p w14:paraId="242F8FD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(d) have a performance management and development system in place; </w:t>
            </w:r>
          </w:p>
          <w:p w14:paraId="4FADC375" w14:textId="77777777" w:rsidR="000D04EF" w:rsidRPr="00D33A1E" w:rsidRDefault="000D04EF" w:rsidP="000D04EF">
            <w:pPr>
              <w:spacing w:line="276" w:lineRule="auto"/>
              <w:rPr>
                <w:rFonts w:eastAsia="Aptos" w:cs="Aptos"/>
                <w:sz w:val="22"/>
                <w:szCs w:val="22"/>
                <w:lang w:val="en-ZA" w:eastAsia="en-US"/>
              </w:rPr>
            </w:pPr>
            <w:r w:rsidRPr="00D33A1E">
              <w:rPr>
                <w:rFonts w:eastAsia="Aptos" w:cs="Times New Roman"/>
                <w:sz w:val="22"/>
                <w:szCs w:val="22"/>
                <w:lang w:val="en-ZA" w:eastAsia="en-US"/>
              </w:rPr>
              <w:t xml:space="preserve">(e) have a system to monitor health care providers professional registration with  the  relevant statutory councils and authorisations that pertains to operational requirements; and </w:t>
            </w:r>
          </w:p>
          <w:p w14:paraId="58303A9E"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(f) develop and implement systems for continuous professional development, training  and capacity building.</w:t>
            </w:r>
          </w:p>
        </w:tc>
        <w:tc>
          <w:tcPr>
            <w:tcW w:w="4536" w:type="dxa"/>
          </w:tcPr>
          <w:p w14:paraId="4D459471" w14:textId="77777777" w:rsidR="000D04EF" w:rsidRPr="00D33A1E" w:rsidRDefault="000D04EF" w:rsidP="000D04EF">
            <w:pPr>
              <w:rPr>
                <w:rFonts w:eastAsia="Aptos" w:cs="Arial"/>
                <w:lang w:eastAsia="en-US"/>
              </w:rPr>
            </w:pPr>
          </w:p>
        </w:tc>
        <w:tc>
          <w:tcPr>
            <w:tcW w:w="4961" w:type="dxa"/>
          </w:tcPr>
          <w:p w14:paraId="015C931D" w14:textId="77777777" w:rsidR="000D04EF" w:rsidRPr="00D33A1E" w:rsidRDefault="000D04EF" w:rsidP="000D04EF">
            <w:pPr>
              <w:rPr>
                <w:rFonts w:eastAsia="Aptos" w:cs="Arial"/>
                <w:lang w:eastAsia="en-US"/>
              </w:rPr>
            </w:pPr>
          </w:p>
        </w:tc>
      </w:tr>
      <w:tr w:rsidR="000D04EF" w:rsidRPr="00D33A1E" w14:paraId="7966598D" w14:textId="77777777" w:rsidTr="00326018">
        <w:tc>
          <w:tcPr>
            <w:tcW w:w="5382" w:type="dxa"/>
          </w:tcPr>
          <w:p w14:paraId="0E73D4D2"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37 Occupational Health and Safety</w:t>
            </w:r>
          </w:p>
          <w:p w14:paraId="0CB8285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37 (1). The health establishment must comply with the requirement of the Occupational Health and Safety Act No 85 of 1993 and all applicable regulations thereto.</w:t>
            </w:r>
          </w:p>
          <w:p w14:paraId="0FF0B0A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the health establishment must-</w:t>
            </w:r>
          </w:p>
          <w:p w14:paraId="1FB6CE9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establish and implement occupational health and safety systems in accordance with the requirements of the Occupational Health and Safety Act No 85 of 1993;</w:t>
            </w:r>
          </w:p>
          <w:p w14:paraId="4320465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ensure duties imposed on the employer is managed in accordance with the Occupational Health and Safety Act;</w:t>
            </w:r>
          </w:p>
          <w:p w14:paraId="4837E02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assign responsibilities to healthcare personnel in terms of Occupational Health and Safety Act No 85 of 1993; </w:t>
            </w:r>
          </w:p>
          <w:p w14:paraId="22A03DB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(d) identify and assess workplace hazards and implement measures to mitigate risks;</w:t>
            </w:r>
          </w:p>
          <w:p w14:paraId="786CA31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conduct medical surveillance of personnel where required based on risk assessment;</w:t>
            </w:r>
          </w:p>
          <w:p w14:paraId="7AB9B51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(f) report and manage occupational health and safety incidents;</w:t>
            </w:r>
          </w:p>
          <w:p w14:paraId="416550C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(g) establish and maintain employee health and wellness programmes ; and </w:t>
            </w:r>
          </w:p>
          <w:p w14:paraId="66D8D442"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(h) have a major incident management and response plan;</w:t>
            </w:r>
            <w:r w:rsidRPr="00D33A1E">
              <w:rPr>
                <w:rFonts w:eastAsia="Aptos" w:cs="Aptos"/>
                <w:sz w:val="22"/>
                <w:szCs w:val="22"/>
                <w:lang w:val="en-ZA" w:eastAsia="en-US"/>
              </w:rPr>
              <w:t xml:space="preserve"> and Emergency Preparedness Plan</w:t>
            </w:r>
            <w:r w:rsidRPr="00D33A1E">
              <w:rPr>
                <w:rFonts w:eastAsia="Aptos" w:cs="Times New Roman"/>
                <w:sz w:val="22"/>
                <w:szCs w:val="22"/>
                <w:lang w:val="en-ZA" w:eastAsia="en-US"/>
              </w:rPr>
              <w:t xml:space="preserve"> in place, which is tested and updated annually and communicated to healthcare personnel.</w:t>
            </w:r>
          </w:p>
        </w:tc>
        <w:tc>
          <w:tcPr>
            <w:tcW w:w="4536" w:type="dxa"/>
          </w:tcPr>
          <w:p w14:paraId="2753CC62" w14:textId="77777777" w:rsidR="000D04EF" w:rsidRPr="00D33A1E" w:rsidRDefault="000D04EF" w:rsidP="000D04EF">
            <w:pPr>
              <w:rPr>
                <w:rFonts w:eastAsia="Aptos" w:cs="Arial"/>
                <w:lang w:eastAsia="en-US"/>
              </w:rPr>
            </w:pPr>
          </w:p>
        </w:tc>
        <w:tc>
          <w:tcPr>
            <w:tcW w:w="4961" w:type="dxa"/>
          </w:tcPr>
          <w:p w14:paraId="54D48E5D" w14:textId="77777777" w:rsidR="000D04EF" w:rsidRPr="00D33A1E" w:rsidRDefault="000D04EF" w:rsidP="000D04EF">
            <w:pPr>
              <w:rPr>
                <w:rFonts w:eastAsia="Aptos" w:cs="Arial"/>
                <w:lang w:eastAsia="en-US"/>
              </w:rPr>
            </w:pPr>
          </w:p>
        </w:tc>
      </w:tr>
      <w:tr w:rsidR="000D04EF" w:rsidRPr="00D33A1E" w14:paraId="632FCC8F" w14:textId="77777777" w:rsidTr="00326018">
        <w:tc>
          <w:tcPr>
            <w:tcW w:w="5382" w:type="dxa"/>
          </w:tcPr>
          <w:p w14:paraId="6686794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 xml:space="preserve">37(3) The health establishment must manage hazardous chemical agents in line with Regulations for Hazardous Chemical Agents </w:t>
            </w:r>
            <w:r w:rsidRPr="00D33A1E">
              <w:rPr>
                <w:rFonts w:eastAsia="Aptos" w:cs="Aptos"/>
                <w:sz w:val="22"/>
                <w:szCs w:val="22"/>
                <w:lang w:val="en-ZA" w:eastAsia="en-US"/>
              </w:rPr>
              <w:t>(HCA)</w:t>
            </w:r>
            <w:r w:rsidRPr="00D33A1E">
              <w:rPr>
                <w:rFonts w:eastAsia="Aptos" w:cs="Times New Roman"/>
                <w:sz w:val="22"/>
                <w:szCs w:val="22"/>
                <w:lang w:val="en-ZA" w:eastAsia="en-US"/>
              </w:rPr>
              <w:t xml:space="preserve"> 2021.</w:t>
            </w:r>
          </w:p>
          <w:p w14:paraId="4FE7406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(3) For the purposes of sub-regulation (4), the health establishment must-</w:t>
            </w:r>
          </w:p>
          <w:p w14:paraId="759F992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provide information and training on hazardous chemical agents to employees prior to their exposure to chemical agents;</w:t>
            </w:r>
          </w:p>
          <w:p w14:paraId="06C40554"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have procedures to manage spillages ,leakages or any similar emergency situations;</w:t>
            </w:r>
          </w:p>
          <w:p w14:paraId="290D20F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conduct an assessment immediately on acquisition of any new hazardous substance, and thereafter at intervals not exceeding two years, to determine if any </w:t>
            </w:r>
            <w:r w:rsidRPr="00D33A1E">
              <w:rPr>
                <w:rFonts w:eastAsia="Aptos" w:cs="Times New Roman"/>
                <w:sz w:val="22"/>
                <w:szCs w:val="22"/>
                <w:lang w:val="en-ZA" w:eastAsia="en-US"/>
              </w:rPr>
              <w:lastRenderedPageBreak/>
              <w:t>employee may be exposed to hazardous chemical agents by any route of intake;</w:t>
            </w:r>
          </w:p>
          <w:p w14:paraId="77B7499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comply with department of labour regulations relating to the Hazardous Substances Act; and</w:t>
            </w:r>
          </w:p>
          <w:p w14:paraId="4D8F5B8E" w14:textId="77777777" w:rsidR="000D04EF" w:rsidRPr="00D33A1E" w:rsidRDefault="000D04EF" w:rsidP="000D04EF">
            <w:pPr>
              <w:spacing w:line="259" w:lineRule="auto"/>
              <w:rPr>
                <w:rFonts w:eastAsia="Aptos" w:cs="Arial"/>
                <w:b/>
                <w:bCs/>
                <w:lang w:eastAsia="en-US"/>
              </w:rPr>
            </w:pPr>
            <w:r w:rsidRPr="00D33A1E">
              <w:rPr>
                <w:rFonts w:eastAsia="Aptos" w:cs="Times New Roman"/>
                <w:sz w:val="22"/>
                <w:szCs w:val="22"/>
                <w:lang w:val="en-ZA" w:eastAsia="en-US"/>
              </w:rPr>
              <w:t>(e) store and dispose hazardous and flammable materials  in accordance with Hazardous Substances Act No. 15 of 1973).</w:t>
            </w:r>
          </w:p>
        </w:tc>
        <w:tc>
          <w:tcPr>
            <w:tcW w:w="4536" w:type="dxa"/>
          </w:tcPr>
          <w:p w14:paraId="0FB842DC" w14:textId="77777777" w:rsidR="000D04EF" w:rsidRPr="00D33A1E" w:rsidRDefault="000D04EF" w:rsidP="000D04EF">
            <w:pPr>
              <w:rPr>
                <w:rFonts w:eastAsia="Aptos" w:cs="Arial"/>
                <w:lang w:eastAsia="en-US"/>
              </w:rPr>
            </w:pPr>
          </w:p>
        </w:tc>
        <w:tc>
          <w:tcPr>
            <w:tcW w:w="4961" w:type="dxa"/>
          </w:tcPr>
          <w:p w14:paraId="2AE9B775" w14:textId="77777777" w:rsidR="000D04EF" w:rsidRPr="00D33A1E" w:rsidRDefault="000D04EF" w:rsidP="000D04EF">
            <w:pPr>
              <w:rPr>
                <w:rFonts w:eastAsia="Aptos" w:cs="Arial"/>
                <w:lang w:eastAsia="en-US"/>
              </w:rPr>
            </w:pPr>
          </w:p>
        </w:tc>
      </w:tr>
      <w:tr w:rsidR="000D04EF" w:rsidRPr="00D33A1E" w14:paraId="26B9F8E3" w14:textId="77777777" w:rsidTr="00326018">
        <w:tc>
          <w:tcPr>
            <w:tcW w:w="5382" w:type="dxa"/>
          </w:tcPr>
          <w:p w14:paraId="3BC7679C" w14:textId="77777777" w:rsidR="000D04EF" w:rsidRPr="00D33A1E" w:rsidRDefault="000D04EF" w:rsidP="0013761E">
            <w:pPr>
              <w:spacing w:line="276" w:lineRule="auto"/>
              <w:rPr>
                <w:rFonts w:eastAsia="Aptos" w:cs="Arial"/>
                <w:b/>
                <w:bCs/>
                <w:lang w:eastAsia="en-US"/>
              </w:rPr>
            </w:pPr>
            <w:r w:rsidRPr="00D33A1E">
              <w:rPr>
                <w:rFonts w:eastAsia="Aptos" w:cs="Times New Roman"/>
                <w:b/>
                <w:bCs/>
                <w:sz w:val="22"/>
                <w:szCs w:val="22"/>
                <w:lang w:val="en-ZA" w:eastAsia="en-US"/>
              </w:rPr>
              <w:t>CHAPTER 9: FACILITIES, INFRASTRUCTURE AND ENVIRONMENT OF CARE</w:t>
            </w:r>
          </w:p>
        </w:tc>
        <w:tc>
          <w:tcPr>
            <w:tcW w:w="4536" w:type="dxa"/>
          </w:tcPr>
          <w:p w14:paraId="6BDEA775" w14:textId="77777777" w:rsidR="000D04EF" w:rsidRPr="00D33A1E" w:rsidRDefault="000D04EF" w:rsidP="000D04EF">
            <w:pPr>
              <w:rPr>
                <w:rFonts w:eastAsia="Aptos" w:cs="Arial"/>
                <w:lang w:eastAsia="en-US"/>
              </w:rPr>
            </w:pPr>
          </w:p>
        </w:tc>
        <w:tc>
          <w:tcPr>
            <w:tcW w:w="4961" w:type="dxa"/>
          </w:tcPr>
          <w:p w14:paraId="57CB20E6" w14:textId="77777777" w:rsidR="000D04EF" w:rsidRPr="00D33A1E" w:rsidRDefault="000D04EF" w:rsidP="000D04EF">
            <w:pPr>
              <w:rPr>
                <w:rFonts w:eastAsia="Aptos" w:cs="Arial"/>
                <w:lang w:eastAsia="en-US"/>
              </w:rPr>
            </w:pPr>
          </w:p>
        </w:tc>
      </w:tr>
      <w:tr w:rsidR="000D04EF" w:rsidRPr="00D33A1E" w14:paraId="0DCBB391" w14:textId="77777777" w:rsidTr="00326018">
        <w:tc>
          <w:tcPr>
            <w:tcW w:w="5382" w:type="dxa"/>
          </w:tcPr>
          <w:p w14:paraId="478DF46E"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38 Management of buildings and grounds</w:t>
            </w:r>
          </w:p>
          <w:p w14:paraId="2BE7033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38 (1) The health establishment buildings and grounds must comply with the building regulations, the prescribed occupational health and safety regulations and local authority requirements.</w:t>
            </w:r>
          </w:p>
          <w:p w14:paraId="58742ED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a health establishment must, as appropriate for the type and function of buildings and grounds of the establishment-</w:t>
            </w:r>
          </w:p>
          <w:p w14:paraId="7C36260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the required compliance certificates, licences, plans and approvals in terms of the building regulations and applicable Occupational Health and Safety Act regulations;</w:t>
            </w:r>
          </w:p>
          <w:p w14:paraId="445EBE2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conduct regular assessments to identify, manage fire risk and develop and implement a fire protection plan;</w:t>
            </w:r>
          </w:p>
          <w:p w14:paraId="01B1BAB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 xml:space="preserve">(c) have fire extinguishing devices, equipment which are maintained; </w:t>
            </w:r>
          </w:p>
          <w:p w14:paraId="1A5471B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conduct routine inspections of the infrastructure and have maintenance plans for the building and grounds;</w:t>
            </w:r>
          </w:p>
          <w:p w14:paraId="349C6483" w14:textId="77777777" w:rsidR="000D04EF" w:rsidRPr="00D33A1E" w:rsidRDefault="000D04EF" w:rsidP="000D04EF">
            <w:pPr>
              <w:spacing w:line="276" w:lineRule="auto"/>
              <w:rPr>
                <w:rFonts w:eastAsia="Aptos" w:cs="Aptos"/>
                <w:sz w:val="22"/>
                <w:szCs w:val="22"/>
                <w:lang w:val="en-ZA" w:eastAsia="en-US"/>
              </w:rPr>
            </w:pPr>
            <w:r w:rsidRPr="00D33A1E">
              <w:rPr>
                <w:rFonts w:eastAsia="Aptos" w:cs="Times New Roman"/>
                <w:sz w:val="22"/>
                <w:szCs w:val="22"/>
                <w:lang w:val="en-ZA" w:eastAsia="en-US"/>
              </w:rPr>
              <w:t>(e) provide emergency exit and entrance points which are kept clear in all service areas and;</w:t>
            </w:r>
            <w:r w:rsidRPr="00D33A1E">
              <w:rPr>
                <w:rFonts w:eastAsia="Aptos" w:cs="Aptos"/>
                <w:sz w:val="22"/>
                <w:szCs w:val="22"/>
                <w:lang w:val="en-ZA" w:eastAsia="en-US"/>
              </w:rPr>
              <w:t xml:space="preserve"> assembly points to be available and visible; </w:t>
            </w:r>
          </w:p>
          <w:p w14:paraId="6EC8C1F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(f) keep floors, walkways, stairs, passages and gangways in a good state of repair, skid free and free of obstructions, waste or materials;</w:t>
            </w:r>
          </w:p>
          <w:p w14:paraId="26C517EA"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(g) have visible signage for safety and security notices;</w:t>
            </w:r>
          </w:p>
          <w:p w14:paraId="72332C1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(h) have alternative mode of access to the buildings  for users with disabilities;</w:t>
            </w:r>
          </w:p>
          <w:p w14:paraId="302E93F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(i) maintain functional lifts and escalators; </w:t>
            </w:r>
          </w:p>
          <w:p w14:paraId="05F04F05" w14:textId="77777777" w:rsidR="000D04EF" w:rsidRPr="00D33A1E" w:rsidRDefault="000D04EF" w:rsidP="000D04EF">
            <w:pPr>
              <w:spacing w:line="276" w:lineRule="auto"/>
              <w:rPr>
                <w:rFonts w:eastAsia="Aptos" w:cs="Arial"/>
                <w:b/>
                <w:bCs/>
                <w:lang w:eastAsia="en-US"/>
              </w:rPr>
            </w:pPr>
            <w:r w:rsidRPr="00D33A1E">
              <w:rPr>
                <w:rFonts w:eastAsia="Aptos" w:cs="Times New Roman"/>
                <w:color w:val="000000"/>
                <w:sz w:val="22"/>
                <w:szCs w:val="22"/>
                <w:lang w:val="en-ZA" w:eastAsia="en-US"/>
              </w:rPr>
              <w:t>(j) implement measures to control domestic and non-domestic animals</w:t>
            </w:r>
            <w:r w:rsidRPr="00D33A1E">
              <w:rPr>
                <w:rFonts w:eastAsia="Aptos" w:cs="Times New Roman"/>
                <w:sz w:val="22"/>
                <w:szCs w:val="22"/>
                <w:lang w:val="en-ZA" w:eastAsia="en-US"/>
              </w:rPr>
              <w:t xml:space="preserve"> </w:t>
            </w:r>
            <w:r w:rsidRPr="00D33A1E">
              <w:rPr>
                <w:rFonts w:eastAsia="Aptos" w:cs="Times New Roman"/>
                <w:color w:val="000000"/>
                <w:sz w:val="22"/>
                <w:szCs w:val="22"/>
                <w:lang w:val="en-ZA" w:eastAsia="en-US"/>
              </w:rPr>
              <w:t>to minimise risk for user safety and infection prevention.</w:t>
            </w:r>
          </w:p>
        </w:tc>
        <w:tc>
          <w:tcPr>
            <w:tcW w:w="4536" w:type="dxa"/>
          </w:tcPr>
          <w:p w14:paraId="6F141AD3" w14:textId="77777777" w:rsidR="000D04EF" w:rsidRPr="00D33A1E" w:rsidRDefault="000D04EF" w:rsidP="000D04EF">
            <w:pPr>
              <w:rPr>
                <w:rFonts w:eastAsia="Aptos" w:cs="Arial"/>
                <w:lang w:eastAsia="en-US"/>
              </w:rPr>
            </w:pPr>
          </w:p>
        </w:tc>
        <w:tc>
          <w:tcPr>
            <w:tcW w:w="4961" w:type="dxa"/>
          </w:tcPr>
          <w:p w14:paraId="715610B4" w14:textId="77777777" w:rsidR="000D04EF" w:rsidRPr="00D33A1E" w:rsidRDefault="000D04EF" w:rsidP="000D04EF">
            <w:pPr>
              <w:rPr>
                <w:rFonts w:eastAsia="Aptos" w:cs="Arial"/>
                <w:lang w:eastAsia="en-US"/>
              </w:rPr>
            </w:pPr>
          </w:p>
        </w:tc>
      </w:tr>
      <w:tr w:rsidR="000D04EF" w:rsidRPr="00D33A1E" w14:paraId="7BE1326A" w14:textId="77777777" w:rsidTr="00326018">
        <w:tc>
          <w:tcPr>
            <w:tcW w:w="5382" w:type="dxa"/>
          </w:tcPr>
          <w:p w14:paraId="5AB483FC"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39 Building Engineering Services</w:t>
            </w:r>
          </w:p>
          <w:p w14:paraId="5A38513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w:t>
            </w:r>
            <w:r w:rsidRPr="00D33A1E">
              <w:rPr>
                <w:rFonts w:eastAsia="Aptos" w:cs="Times New Roman"/>
                <w:sz w:val="22"/>
                <w:szCs w:val="22"/>
                <w:lang w:val="en-ZA" w:eastAsia="en-US"/>
              </w:rPr>
              <w:t>39 (1) The health establishment must have building engineering services that are functional and enable safe and uninterrupted delivery of health</w:t>
            </w:r>
          </w:p>
          <w:p w14:paraId="3D9139D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care services.</w:t>
            </w:r>
          </w:p>
          <w:p w14:paraId="0765058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a health establishment must-</w:t>
            </w:r>
          </w:p>
          <w:p w14:paraId="4991379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continuous and reliable:</w:t>
            </w:r>
          </w:p>
          <w:p w14:paraId="630ECD9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(i) supply of electrical power with automatic backup power;</w:t>
            </w:r>
          </w:p>
          <w:p w14:paraId="49F1C7A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 lighting;</w:t>
            </w:r>
          </w:p>
          <w:p w14:paraId="5B84916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(iii) medical gas supply;</w:t>
            </w:r>
          </w:p>
          <w:p w14:paraId="07CA15E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(iv) water supply, including back up water supply; </w:t>
            </w:r>
          </w:p>
          <w:p w14:paraId="6EB7D6D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(v) sanitation systems for safe disposal of sewerage;</w:t>
            </w:r>
          </w:p>
          <w:p w14:paraId="1DBA340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(vi) ventilation systems;</w:t>
            </w:r>
          </w:p>
          <w:p w14:paraId="0B6B9BE3"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maintain machinery and equipment for electrical, medical gas, suction/vacuum and water supply;</w:t>
            </w:r>
          </w:p>
          <w:p w14:paraId="3A47F9AE"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(c) use, maintain, repair and decommission machinery and equipment according to the applicable legislation and regulations.</w:t>
            </w:r>
          </w:p>
        </w:tc>
        <w:tc>
          <w:tcPr>
            <w:tcW w:w="4536" w:type="dxa"/>
          </w:tcPr>
          <w:p w14:paraId="7642541C" w14:textId="77777777" w:rsidR="000D04EF" w:rsidRPr="00D33A1E" w:rsidRDefault="000D04EF" w:rsidP="000D04EF">
            <w:pPr>
              <w:rPr>
                <w:rFonts w:eastAsia="Aptos" w:cs="Arial"/>
                <w:lang w:eastAsia="en-US"/>
              </w:rPr>
            </w:pPr>
          </w:p>
        </w:tc>
        <w:tc>
          <w:tcPr>
            <w:tcW w:w="4961" w:type="dxa"/>
          </w:tcPr>
          <w:p w14:paraId="69A1B672" w14:textId="77777777" w:rsidR="000D04EF" w:rsidRPr="00D33A1E" w:rsidRDefault="000D04EF" w:rsidP="000D04EF">
            <w:pPr>
              <w:rPr>
                <w:rFonts w:eastAsia="Aptos" w:cs="Arial"/>
                <w:lang w:eastAsia="en-US"/>
              </w:rPr>
            </w:pPr>
          </w:p>
        </w:tc>
      </w:tr>
      <w:tr w:rsidR="000D04EF" w:rsidRPr="00D33A1E" w14:paraId="3B2A2AA5" w14:textId="77777777" w:rsidTr="00326018">
        <w:tc>
          <w:tcPr>
            <w:tcW w:w="5382" w:type="dxa"/>
          </w:tcPr>
          <w:p w14:paraId="09580825"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40 Cleaning Services</w:t>
            </w:r>
          </w:p>
          <w:p w14:paraId="113D1BD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40 (1) The health establishment have systems in place to keep the environment clean to prevent and minimise infections and positively impact user recovery and overall satisfaction.</w:t>
            </w:r>
          </w:p>
          <w:p w14:paraId="70616A2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(2) For the purposes of sub-regulation (1), a health establishment must:</w:t>
            </w:r>
          </w:p>
          <w:p w14:paraId="64336291"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have cleaning materials and equipment;</w:t>
            </w:r>
          </w:p>
          <w:p w14:paraId="2259384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(b) have a documented cleaning schedule; </w:t>
            </w:r>
          </w:p>
          <w:p w14:paraId="53CFFED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monitor performance of the cleaning services and </w:t>
            </w:r>
            <w:r w:rsidRPr="00D33A1E">
              <w:rPr>
                <w:rFonts w:eastAsia="Aptos" w:cs="Times New Roman"/>
                <w:color w:val="000000"/>
                <w:sz w:val="22"/>
                <w:szCs w:val="22"/>
                <w:lang w:val="en-ZA" w:eastAsia="en-US"/>
              </w:rPr>
              <w:t xml:space="preserve">cleaning personnel, and </w:t>
            </w:r>
            <w:r w:rsidRPr="00D33A1E">
              <w:rPr>
                <w:rFonts w:eastAsia="Aptos" w:cs="Times New Roman"/>
                <w:sz w:val="22"/>
                <w:szCs w:val="22"/>
                <w:lang w:val="en-ZA" w:eastAsia="en-US"/>
              </w:rPr>
              <w:t>take corrective measures where applicable;</w:t>
            </w:r>
          </w:p>
          <w:p w14:paraId="6D6F4C4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(d) train cleaning personnel on  methods of cleaning in clinical environments, use of cleaning equipment, </w:t>
            </w:r>
            <w:r w:rsidRPr="00D33A1E">
              <w:rPr>
                <w:rFonts w:eastAsia="Aptos" w:cs="Times New Roman"/>
                <w:sz w:val="22"/>
                <w:szCs w:val="22"/>
                <w:lang w:val="en-ZA" w:eastAsia="en-US"/>
              </w:rPr>
              <w:lastRenderedPageBreak/>
              <w:t>infection prevention and control  and other relevant topics;</w:t>
            </w:r>
          </w:p>
          <w:p w14:paraId="61CEFE89" w14:textId="09AC9542"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(e) implement a pest control programme;</w:t>
            </w:r>
            <w:r w:rsidR="00160E98">
              <w:rPr>
                <w:rFonts w:eastAsia="Aptos" w:cs="Times New Roman"/>
                <w:sz w:val="22"/>
                <w:szCs w:val="22"/>
                <w:lang w:val="en-ZA" w:eastAsia="en-US"/>
              </w:rPr>
              <w:t xml:space="preserve"> and</w:t>
            </w:r>
          </w:p>
          <w:p w14:paraId="5D07C295" w14:textId="77777777" w:rsidR="000D04EF" w:rsidRPr="00D33A1E" w:rsidRDefault="000D04EF" w:rsidP="000D04EF">
            <w:pPr>
              <w:spacing w:line="276" w:lineRule="auto"/>
              <w:rPr>
                <w:rFonts w:eastAsia="Aptos" w:cs="Arial"/>
                <w:b/>
                <w:bCs/>
                <w:lang w:eastAsia="en-US"/>
              </w:rPr>
            </w:pPr>
            <w:r w:rsidRPr="00D33A1E">
              <w:rPr>
                <w:rFonts w:eastAsia="Aptos" w:cs="Aptos"/>
                <w:sz w:val="22"/>
                <w:szCs w:val="22"/>
                <w:lang w:val="en-ZA" w:eastAsia="en-US"/>
              </w:rPr>
              <w:t>(f) have service level agreement for outsourced services and monitor its performance.</w:t>
            </w:r>
          </w:p>
        </w:tc>
        <w:tc>
          <w:tcPr>
            <w:tcW w:w="4536" w:type="dxa"/>
          </w:tcPr>
          <w:p w14:paraId="0DC0AECA" w14:textId="77777777" w:rsidR="000D04EF" w:rsidRPr="00D33A1E" w:rsidRDefault="000D04EF" w:rsidP="000D04EF">
            <w:pPr>
              <w:rPr>
                <w:rFonts w:eastAsia="Aptos" w:cs="Arial"/>
                <w:lang w:eastAsia="en-US"/>
              </w:rPr>
            </w:pPr>
          </w:p>
        </w:tc>
        <w:tc>
          <w:tcPr>
            <w:tcW w:w="4961" w:type="dxa"/>
          </w:tcPr>
          <w:p w14:paraId="33FE3AFF" w14:textId="77777777" w:rsidR="000D04EF" w:rsidRPr="00D33A1E" w:rsidRDefault="000D04EF" w:rsidP="000D04EF">
            <w:pPr>
              <w:rPr>
                <w:rFonts w:eastAsia="Aptos" w:cs="Arial"/>
                <w:lang w:eastAsia="en-US"/>
              </w:rPr>
            </w:pPr>
          </w:p>
        </w:tc>
      </w:tr>
      <w:tr w:rsidR="000D04EF" w:rsidRPr="00D33A1E" w14:paraId="7BD8113F" w14:textId="77777777" w:rsidTr="00326018">
        <w:tc>
          <w:tcPr>
            <w:tcW w:w="5382" w:type="dxa"/>
          </w:tcPr>
          <w:p w14:paraId="5BB2C5E5" w14:textId="77777777" w:rsidR="000D04EF" w:rsidRPr="00D33A1E" w:rsidRDefault="000D04EF" w:rsidP="006C6A16">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41 Laundry Services and Linen Management</w:t>
            </w:r>
          </w:p>
          <w:p w14:paraId="745EC6B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Regulation statement: 41 </w:t>
            </w:r>
            <w:r w:rsidRPr="00D33A1E">
              <w:rPr>
                <w:rFonts w:eastAsia="Aptos" w:cs="Times New Roman"/>
                <w:sz w:val="22"/>
                <w:szCs w:val="22"/>
                <w:lang w:val="en-ZA" w:eastAsia="en-US"/>
              </w:rPr>
              <w:t>(1) The health establishment must put systems in place to provide laundry services and linen management to meet users’ needs and facilitate provision of quality  care.</w:t>
            </w:r>
          </w:p>
          <w:p w14:paraId="72FB5E1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 xml:space="preserve">Sub-regulation Statements: </w:t>
            </w:r>
            <w:r w:rsidRPr="00D33A1E">
              <w:rPr>
                <w:rFonts w:eastAsia="Aptos" w:cs="Times New Roman"/>
                <w:sz w:val="22"/>
                <w:szCs w:val="22"/>
                <w:lang w:val="en-ZA" w:eastAsia="en-US"/>
              </w:rPr>
              <w:t>(2) For the purposes of sub-regulation (1) the health establishment must-</w:t>
            </w:r>
          </w:p>
          <w:p w14:paraId="30553D9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provide laundry services in-house or as an outsourced service;</w:t>
            </w:r>
          </w:p>
          <w:p w14:paraId="5128D4B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have segregated areas of workflow  to prevent cross contamination;</w:t>
            </w:r>
          </w:p>
          <w:p w14:paraId="2674A0C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(c) have functional laundry equipment where the service is insourced;</w:t>
            </w:r>
          </w:p>
          <w:p w14:paraId="6348022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have a system to maintain the laundry equipment where  the service is insourced;</w:t>
            </w:r>
          </w:p>
          <w:p w14:paraId="5C8662A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(e) have a system for linen stock control; </w:t>
            </w:r>
          </w:p>
          <w:p w14:paraId="2A84C45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(f) have a documented process for managing loss of linen stock; </w:t>
            </w:r>
          </w:p>
          <w:p w14:paraId="426D259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(g) have systems in place to manage dirty, contaminated and clean linen as required for the type of establishment; and</w:t>
            </w:r>
          </w:p>
          <w:p w14:paraId="704889A4"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lastRenderedPageBreak/>
              <w:t>(h) monitor the performance of the outsourced service.</w:t>
            </w:r>
          </w:p>
        </w:tc>
        <w:tc>
          <w:tcPr>
            <w:tcW w:w="4536" w:type="dxa"/>
          </w:tcPr>
          <w:p w14:paraId="29D54CB8" w14:textId="77777777" w:rsidR="000D04EF" w:rsidRPr="00D33A1E" w:rsidRDefault="000D04EF" w:rsidP="000D04EF">
            <w:pPr>
              <w:rPr>
                <w:rFonts w:eastAsia="Aptos" w:cs="Arial"/>
                <w:lang w:eastAsia="en-US"/>
              </w:rPr>
            </w:pPr>
          </w:p>
        </w:tc>
        <w:tc>
          <w:tcPr>
            <w:tcW w:w="4961" w:type="dxa"/>
          </w:tcPr>
          <w:p w14:paraId="76ECF74C" w14:textId="77777777" w:rsidR="000D04EF" w:rsidRPr="00D33A1E" w:rsidRDefault="000D04EF" w:rsidP="000D04EF">
            <w:pPr>
              <w:rPr>
                <w:rFonts w:eastAsia="Aptos" w:cs="Arial"/>
                <w:lang w:eastAsia="en-US"/>
              </w:rPr>
            </w:pPr>
          </w:p>
        </w:tc>
      </w:tr>
      <w:tr w:rsidR="000D04EF" w:rsidRPr="00D33A1E" w14:paraId="40C957EB" w14:textId="77777777" w:rsidTr="00326018">
        <w:tc>
          <w:tcPr>
            <w:tcW w:w="5382" w:type="dxa"/>
          </w:tcPr>
          <w:p w14:paraId="2B1A9ACB" w14:textId="77777777" w:rsidR="000D04EF" w:rsidRPr="00D33A1E" w:rsidRDefault="000D04EF" w:rsidP="000D04EF">
            <w:pPr>
              <w:spacing w:line="360"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42 Food Services</w:t>
            </w:r>
          </w:p>
          <w:p w14:paraId="36B12FC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42 (1) The health establishment must provide food services that are hygienic, safe, meet users’ needs and the required health and safety standards.</w:t>
            </w:r>
          </w:p>
          <w:p w14:paraId="4683549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 regulation statement:</w:t>
            </w:r>
            <w:r w:rsidRPr="00D33A1E">
              <w:rPr>
                <w:rFonts w:eastAsia="Aptos" w:cs="Times New Roman"/>
                <w:sz w:val="22"/>
                <w:szCs w:val="22"/>
                <w:lang w:val="en-ZA" w:eastAsia="en-US"/>
              </w:rPr>
              <w:t xml:space="preserve"> (2) For the purposes of sub-regulation (1) the health establishment must: </w:t>
            </w:r>
          </w:p>
          <w:p w14:paraId="3751EB0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comply with applicable environmental health and food safety requirements and be in possession of the licence and/or certificate issued by the relevant authority or body;</w:t>
            </w:r>
          </w:p>
          <w:p w14:paraId="5CB1EC71" w14:textId="77777777" w:rsidR="000D04EF" w:rsidRPr="00D33A1E" w:rsidRDefault="000D04EF" w:rsidP="000D04EF">
            <w:pPr>
              <w:spacing w:line="276" w:lineRule="auto"/>
              <w:rPr>
                <w:rFonts w:eastAsia="Aptos" w:cs="Aptos"/>
                <w:sz w:val="22"/>
                <w:szCs w:val="22"/>
                <w:lang w:val="en-ZA" w:eastAsia="en-US"/>
              </w:rPr>
            </w:pPr>
            <w:r w:rsidRPr="00D33A1E">
              <w:rPr>
                <w:rFonts w:eastAsia="Aptos" w:cs="Times New Roman"/>
                <w:sz w:val="22"/>
                <w:szCs w:val="22"/>
                <w:lang w:val="en-ZA" w:eastAsia="en-US"/>
              </w:rPr>
              <w:t>(b) manage the food services in compliance with food hygiene standards and environmental health standards;</w:t>
            </w:r>
            <w:r w:rsidRPr="00D33A1E">
              <w:rPr>
                <w:rFonts w:eastAsia="Aptos" w:cs="Aptos"/>
                <w:sz w:val="22"/>
                <w:szCs w:val="22"/>
                <w:lang w:val="en-ZA" w:eastAsia="en-US"/>
              </w:rPr>
              <w:t xml:space="preserve"> </w:t>
            </w:r>
          </w:p>
          <w:p w14:paraId="30C88BC9" w14:textId="77777777" w:rsidR="000D04EF" w:rsidRPr="00D33A1E" w:rsidRDefault="000D04EF" w:rsidP="000D04EF">
            <w:pPr>
              <w:spacing w:line="276" w:lineRule="auto"/>
              <w:rPr>
                <w:rFonts w:eastAsia="Aptos" w:cs="Aptos"/>
                <w:sz w:val="22"/>
                <w:szCs w:val="22"/>
                <w:lang w:val="en-ZA" w:eastAsia="en-US"/>
              </w:rPr>
            </w:pPr>
            <w:r w:rsidRPr="00D33A1E">
              <w:rPr>
                <w:rFonts w:eastAsia="Aptos" w:cs="Aptos"/>
                <w:sz w:val="22"/>
                <w:szCs w:val="22"/>
                <w:lang w:val="en-ZA" w:eastAsia="en-US"/>
              </w:rPr>
              <w:t>(c) ensure that  food service complies with general safety standards for firefighting equipment, pest control and first aid;</w:t>
            </w:r>
          </w:p>
          <w:p w14:paraId="18A7649B"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have procedures to guide food procurement, storage, preparation and serving;</w:t>
            </w:r>
          </w:p>
          <w:p w14:paraId="68CB45D4" w14:textId="77777777" w:rsidR="000D04EF" w:rsidRPr="00D33A1E" w:rsidRDefault="000D04EF" w:rsidP="000D04EF">
            <w:pPr>
              <w:spacing w:line="276" w:lineRule="auto"/>
              <w:rPr>
                <w:rFonts w:eastAsia="Aptos" w:cs="Aptos"/>
                <w:sz w:val="22"/>
                <w:szCs w:val="22"/>
                <w:lang w:val="en-ZA" w:eastAsia="en-US"/>
              </w:rPr>
            </w:pPr>
            <w:r w:rsidRPr="00D33A1E">
              <w:rPr>
                <w:rFonts w:eastAsia="Aptos" w:cs="Times New Roman"/>
                <w:sz w:val="22"/>
                <w:szCs w:val="22"/>
                <w:lang w:val="en-ZA" w:eastAsia="en-US"/>
              </w:rPr>
              <w:t>(e) have functional food service  equipment for the type of services provided and the size of the health establishment;</w:t>
            </w:r>
            <w:r w:rsidRPr="00D33A1E">
              <w:rPr>
                <w:rFonts w:eastAsia="Aptos" w:cs="Aptos"/>
                <w:sz w:val="22"/>
                <w:szCs w:val="22"/>
                <w:lang w:val="en-ZA" w:eastAsia="en-US"/>
              </w:rPr>
              <w:t xml:space="preserve"> </w:t>
            </w:r>
          </w:p>
          <w:p w14:paraId="5942C6B5"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(f) provide food  in accordance with  user’s medical condition, cultural and religious needs; </w:t>
            </w:r>
          </w:p>
          <w:p w14:paraId="71CDEEC9"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(g) where applicable, monitor Service Level Agreements and report breaches to the relevant authority;</w:t>
            </w:r>
          </w:p>
          <w:p w14:paraId="044E777B" w14:textId="77777777" w:rsidR="000D04EF" w:rsidRPr="00D33A1E" w:rsidRDefault="000D04EF" w:rsidP="000D04EF">
            <w:pPr>
              <w:spacing w:line="276" w:lineRule="auto"/>
              <w:rPr>
                <w:rFonts w:eastAsia="Aptos" w:cs="Aptos"/>
                <w:color w:val="000000"/>
                <w:sz w:val="22"/>
                <w:szCs w:val="22"/>
                <w:lang w:val="en-ZA" w:eastAsia="en-US"/>
              </w:rPr>
            </w:pPr>
            <w:r w:rsidRPr="00D33A1E">
              <w:rPr>
                <w:rFonts w:eastAsia="Aptos" w:cs="Aptos"/>
                <w:color w:val="000000"/>
                <w:sz w:val="22"/>
                <w:szCs w:val="22"/>
                <w:lang w:val="en-ZA" w:eastAsia="en-US"/>
              </w:rPr>
              <w:t xml:space="preserve">(h) have maintenance plan  for  food services equipment including </w:t>
            </w:r>
            <w:r w:rsidRPr="00D33A1E">
              <w:rPr>
                <w:rFonts w:eastAsia="Aptos" w:cs="Times New Roman"/>
                <w:color w:val="000000"/>
                <w:sz w:val="22"/>
                <w:szCs w:val="22"/>
                <w:lang w:val="en-ZA" w:eastAsia="en-US"/>
              </w:rPr>
              <w:t xml:space="preserve"> </w:t>
            </w:r>
            <w:r w:rsidRPr="00D33A1E">
              <w:rPr>
                <w:rFonts w:eastAsia="Aptos" w:cs="Aptos"/>
                <w:color w:val="000000"/>
                <w:sz w:val="22"/>
                <w:szCs w:val="22"/>
                <w:lang w:val="en-ZA" w:eastAsia="en-US"/>
              </w:rPr>
              <w:t>cleaning of extractor canopies and filters to minimize fire hazards;</w:t>
            </w:r>
          </w:p>
          <w:p w14:paraId="514A50DF" w14:textId="77777777" w:rsidR="000D04EF" w:rsidRPr="00D33A1E" w:rsidRDefault="000D04EF" w:rsidP="000D04EF">
            <w:pPr>
              <w:spacing w:line="276" w:lineRule="auto"/>
              <w:rPr>
                <w:rFonts w:eastAsia="Aptos" w:cs="Aptos"/>
                <w:color w:val="000000"/>
                <w:sz w:val="22"/>
                <w:szCs w:val="22"/>
                <w:lang w:val="en-ZA" w:eastAsia="en-US"/>
              </w:rPr>
            </w:pPr>
            <w:r w:rsidRPr="00D33A1E">
              <w:rPr>
                <w:rFonts w:eastAsia="Aptos" w:cs="Aptos"/>
                <w:color w:val="000000"/>
                <w:sz w:val="22"/>
                <w:szCs w:val="22"/>
                <w:lang w:val="en-ZA" w:eastAsia="en-US"/>
              </w:rPr>
              <w:t>(i) monitor and maintain storage and fridge temperatures in line with relevant guidelines;</w:t>
            </w:r>
          </w:p>
          <w:p w14:paraId="2B0D54C7" w14:textId="77777777" w:rsidR="000D04EF" w:rsidRPr="00D33A1E" w:rsidRDefault="000D04EF" w:rsidP="000D04EF">
            <w:pPr>
              <w:spacing w:line="276" w:lineRule="auto"/>
              <w:rPr>
                <w:rFonts w:eastAsia="Aptos" w:cs="Aptos"/>
                <w:color w:val="000000"/>
                <w:sz w:val="22"/>
                <w:szCs w:val="22"/>
                <w:lang w:val="en-ZA" w:eastAsia="en-US"/>
              </w:rPr>
            </w:pPr>
            <w:r w:rsidRPr="00D33A1E">
              <w:rPr>
                <w:rFonts w:eastAsia="Aptos" w:cs="Aptos"/>
                <w:color w:val="000000"/>
                <w:sz w:val="22"/>
                <w:szCs w:val="22"/>
                <w:lang w:val="en-ZA" w:eastAsia="en-US"/>
              </w:rPr>
              <w:t>(j) implement security measures to protect and safeguard food items;</w:t>
            </w:r>
          </w:p>
          <w:p w14:paraId="397A20FF" w14:textId="77777777" w:rsidR="000D04EF" w:rsidRPr="00D33A1E" w:rsidRDefault="000D04EF" w:rsidP="000D04EF">
            <w:pPr>
              <w:spacing w:line="276" w:lineRule="auto"/>
              <w:rPr>
                <w:rFonts w:eastAsia="Aptos" w:cs="Aptos"/>
                <w:color w:val="000000"/>
                <w:sz w:val="22"/>
                <w:szCs w:val="22"/>
                <w:lang w:val="en-ZA" w:eastAsia="en-US"/>
              </w:rPr>
            </w:pPr>
            <w:r w:rsidRPr="00D33A1E">
              <w:rPr>
                <w:rFonts w:eastAsia="Aptos" w:cs="Aptos"/>
                <w:color w:val="000000"/>
                <w:sz w:val="22"/>
                <w:szCs w:val="22"/>
                <w:lang w:val="en-ZA" w:eastAsia="en-US"/>
              </w:rPr>
              <w:t>(k) have grease traps/ grease interceptors to comply with environmental and plumbing regulations; and</w:t>
            </w:r>
          </w:p>
          <w:p w14:paraId="1D50B426" w14:textId="77777777" w:rsidR="000D04EF" w:rsidRPr="00D33A1E" w:rsidRDefault="000D04EF" w:rsidP="000D04EF">
            <w:pPr>
              <w:spacing w:line="276" w:lineRule="auto"/>
              <w:rPr>
                <w:rFonts w:eastAsia="Aptos" w:cs="Arial"/>
                <w:b/>
                <w:bCs/>
                <w:lang w:eastAsia="en-US"/>
              </w:rPr>
            </w:pPr>
            <w:r w:rsidRPr="00D33A1E">
              <w:rPr>
                <w:rFonts w:eastAsia="Aptos" w:cs="Aptos"/>
                <w:color w:val="000000"/>
                <w:sz w:val="22"/>
                <w:szCs w:val="22"/>
                <w:lang w:val="en-ZA" w:eastAsia="en-US"/>
              </w:rPr>
              <w:t>(l) have  a service level agreement which is monitored where food services is outsourced.</w:t>
            </w:r>
          </w:p>
        </w:tc>
        <w:tc>
          <w:tcPr>
            <w:tcW w:w="4536" w:type="dxa"/>
          </w:tcPr>
          <w:p w14:paraId="3C1BE3A8" w14:textId="77777777" w:rsidR="000D04EF" w:rsidRPr="00D33A1E" w:rsidRDefault="000D04EF" w:rsidP="000D04EF">
            <w:pPr>
              <w:rPr>
                <w:rFonts w:eastAsia="Aptos" w:cs="Arial"/>
                <w:lang w:eastAsia="en-US"/>
              </w:rPr>
            </w:pPr>
          </w:p>
        </w:tc>
        <w:tc>
          <w:tcPr>
            <w:tcW w:w="4961" w:type="dxa"/>
          </w:tcPr>
          <w:p w14:paraId="14F9734F" w14:textId="77777777" w:rsidR="000D04EF" w:rsidRPr="00D33A1E" w:rsidRDefault="000D04EF" w:rsidP="000D04EF">
            <w:pPr>
              <w:rPr>
                <w:rFonts w:eastAsia="Aptos" w:cs="Arial"/>
                <w:lang w:eastAsia="en-US"/>
              </w:rPr>
            </w:pPr>
          </w:p>
        </w:tc>
      </w:tr>
      <w:tr w:rsidR="000D04EF" w:rsidRPr="00D33A1E" w14:paraId="6CAD13B9" w14:textId="77777777" w:rsidTr="00326018">
        <w:tc>
          <w:tcPr>
            <w:tcW w:w="5382" w:type="dxa"/>
          </w:tcPr>
          <w:p w14:paraId="073EB162" w14:textId="77777777" w:rsidR="000D04EF" w:rsidRPr="00D33A1E" w:rsidRDefault="000D04EF" w:rsidP="000D04EF">
            <w:pPr>
              <w:spacing w:line="360" w:lineRule="auto"/>
              <w:rPr>
                <w:rFonts w:eastAsia="Aptos" w:cs="Times New Roman"/>
                <w:b/>
                <w:bCs/>
                <w:color w:val="000000"/>
                <w:sz w:val="22"/>
                <w:szCs w:val="22"/>
                <w:lang w:val="en-ZA" w:eastAsia="en-US"/>
              </w:rPr>
            </w:pPr>
            <w:r w:rsidRPr="00D33A1E">
              <w:rPr>
                <w:rFonts w:eastAsia="Aptos" w:cs="Times New Roman"/>
                <w:b/>
                <w:bCs/>
                <w:color w:val="000000"/>
                <w:sz w:val="22"/>
                <w:szCs w:val="22"/>
                <w:lang w:val="en-ZA" w:eastAsia="en-US"/>
              </w:rPr>
              <w:t>Regulation title: 43 Mortuary Services</w:t>
            </w:r>
          </w:p>
          <w:p w14:paraId="0B27BC5E"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b/>
                <w:bCs/>
                <w:color w:val="000000"/>
                <w:sz w:val="22"/>
                <w:szCs w:val="22"/>
                <w:lang w:val="en-ZA" w:eastAsia="en-US"/>
              </w:rPr>
              <w:t>Regulation statement:</w:t>
            </w:r>
            <w:r w:rsidRPr="00D33A1E">
              <w:rPr>
                <w:rFonts w:eastAsia="Aptos" w:cs="Times New Roman"/>
                <w:color w:val="000000"/>
                <w:sz w:val="22"/>
                <w:szCs w:val="22"/>
                <w:lang w:val="en-ZA" w:eastAsia="en-US"/>
              </w:rPr>
              <w:t xml:space="preserve"> 43 (1). The health establishment must manage human remains in line with National Health Act section 68 (1) (b) and Regulations Relating to the Management of Human remains (No. R 363).</w:t>
            </w:r>
          </w:p>
          <w:p w14:paraId="0E722BBB"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b/>
                <w:bCs/>
                <w:color w:val="000000"/>
                <w:sz w:val="22"/>
                <w:szCs w:val="22"/>
                <w:lang w:val="en-ZA" w:eastAsia="en-US"/>
              </w:rPr>
              <w:t>Sub regulation statement:</w:t>
            </w:r>
            <w:r w:rsidRPr="00D33A1E">
              <w:rPr>
                <w:rFonts w:eastAsia="Aptos" w:cs="Times New Roman"/>
                <w:color w:val="000000"/>
                <w:sz w:val="22"/>
                <w:szCs w:val="22"/>
                <w:lang w:val="en-ZA" w:eastAsia="en-US"/>
              </w:rPr>
              <w:t xml:space="preserve"> (2) For the purposes of sub-regulation (1) the health establishment must:</w:t>
            </w:r>
          </w:p>
          <w:p w14:paraId="4D0466A5"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t>(a) have a certificate of competence in line with requirements of Regulations Relating to the Management of Human Remains (No. R 363);</w:t>
            </w:r>
          </w:p>
          <w:p w14:paraId="3CE2AD3F"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lastRenderedPageBreak/>
              <w:t>(b) where mortuary services is not available, have procedures for storage and transfer of deceased bodies to external providers;</w:t>
            </w:r>
          </w:p>
          <w:p w14:paraId="5F1D138A"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t xml:space="preserve">(b) implement procedures for transportation of deceased bodies, registration/labelling of deceased bodies and storage; </w:t>
            </w:r>
          </w:p>
          <w:p w14:paraId="7983842C"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t>(c) implement procedures for verification of deceased bodies prior to release to family or relatives or other third party;</w:t>
            </w:r>
          </w:p>
          <w:p w14:paraId="45729388"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t>(d) have relevant personal protective equipment, waste management and hand-washing facilities;</w:t>
            </w:r>
          </w:p>
          <w:p w14:paraId="57929282"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t xml:space="preserve">(e) have equipment for storage and transportation of bodies that meets environmental hygiene standards; </w:t>
            </w:r>
          </w:p>
          <w:p w14:paraId="2D0B77B8"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t>(f) monitor and maintain mortuary temperature in line with relevant legislation or guidelines;</w:t>
            </w:r>
          </w:p>
          <w:p w14:paraId="2BFC964D"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t xml:space="preserve">(g) implement security measures to protect and safeguard the deceased bodies; </w:t>
            </w:r>
          </w:p>
          <w:p w14:paraId="141ED441" w14:textId="77777777" w:rsidR="000D04EF" w:rsidRPr="00D33A1E" w:rsidRDefault="000D04EF" w:rsidP="000D04EF">
            <w:pPr>
              <w:spacing w:line="276" w:lineRule="auto"/>
              <w:rPr>
                <w:rFonts w:eastAsia="Aptos" w:cs="Times New Roman"/>
                <w:color w:val="000000"/>
                <w:sz w:val="22"/>
                <w:szCs w:val="22"/>
                <w:lang w:val="en-ZA" w:eastAsia="en-US"/>
              </w:rPr>
            </w:pPr>
            <w:r w:rsidRPr="00D33A1E">
              <w:rPr>
                <w:rFonts w:eastAsia="Aptos" w:cs="Times New Roman"/>
                <w:color w:val="000000"/>
                <w:sz w:val="22"/>
                <w:szCs w:val="22"/>
                <w:lang w:val="en-ZA" w:eastAsia="en-US"/>
              </w:rPr>
              <w:t>(h) have protocols for viewing of bodies of the deceased by the family and other authorities; and</w:t>
            </w:r>
          </w:p>
          <w:p w14:paraId="7DC171A4" w14:textId="77777777" w:rsidR="000D04EF" w:rsidRPr="00D33A1E" w:rsidRDefault="000D04EF" w:rsidP="000D04EF">
            <w:pPr>
              <w:spacing w:line="276" w:lineRule="auto"/>
              <w:rPr>
                <w:rFonts w:eastAsia="Aptos" w:cs="Arial"/>
                <w:b/>
                <w:bCs/>
                <w:lang w:eastAsia="en-US"/>
              </w:rPr>
            </w:pPr>
            <w:r w:rsidRPr="00D33A1E">
              <w:rPr>
                <w:rFonts w:eastAsia="Aptos" w:cs="Times New Roman"/>
                <w:color w:val="000000"/>
                <w:sz w:val="22"/>
                <w:szCs w:val="22"/>
                <w:lang w:val="en-ZA" w:eastAsia="en-US"/>
              </w:rPr>
              <w:t>(i) have maintenance plan for equipment which is monitored.</w:t>
            </w:r>
          </w:p>
        </w:tc>
        <w:tc>
          <w:tcPr>
            <w:tcW w:w="4536" w:type="dxa"/>
          </w:tcPr>
          <w:p w14:paraId="01318AFB" w14:textId="77777777" w:rsidR="000D04EF" w:rsidRPr="00D33A1E" w:rsidRDefault="000D04EF" w:rsidP="000D04EF">
            <w:pPr>
              <w:rPr>
                <w:rFonts w:eastAsia="Aptos" w:cs="Arial"/>
                <w:lang w:eastAsia="en-US"/>
              </w:rPr>
            </w:pPr>
          </w:p>
        </w:tc>
        <w:tc>
          <w:tcPr>
            <w:tcW w:w="4961" w:type="dxa"/>
          </w:tcPr>
          <w:p w14:paraId="64AD6FF6" w14:textId="77777777" w:rsidR="000D04EF" w:rsidRPr="00D33A1E" w:rsidRDefault="000D04EF" w:rsidP="000D04EF">
            <w:pPr>
              <w:rPr>
                <w:rFonts w:eastAsia="Aptos" w:cs="Arial"/>
                <w:lang w:eastAsia="en-US"/>
              </w:rPr>
            </w:pPr>
          </w:p>
        </w:tc>
      </w:tr>
      <w:tr w:rsidR="000D04EF" w:rsidRPr="00D33A1E" w14:paraId="39C8CE32" w14:textId="77777777" w:rsidTr="00326018">
        <w:tc>
          <w:tcPr>
            <w:tcW w:w="5382" w:type="dxa"/>
          </w:tcPr>
          <w:p w14:paraId="46DA7FF7"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44 Transport and Fleet Management</w:t>
            </w:r>
          </w:p>
          <w:p w14:paraId="476C05F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w:t>
            </w:r>
            <w:r w:rsidRPr="00D33A1E">
              <w:rPr>
                <w:rFonts w:eastAsia="Aptos" w:cs="Times New Roman"/>
                <w:sz w:val="22"/>
                <w:szCs w:val="22"/>
                <w:lang w:val="en-ZA" w:eastAsia="en-US"/>
              </w:rPr>
              <w:t xml:space="preserve"> 44 (I) The health establishment vehicles used to transport users, health care personnel and goods are available, safe and well maintained.</w:t>
            </w:r>
          </w:p>
          <w:p w14:paraId="162DA967"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lastRenderedPageBreak/>
              <w:t>Sub-regulation statements:</w:t>
            </w:r>
            <w:r w:rsidRPr="00D33A1E">
              <w:rPr>
                <w:rFonts w:eastAsia="Aptos" w:cs="Times New Roman"/>
                <w:sz w:val="22"/>
                <w:szCs w:val="22"/>
                <w:lang w:val="en-ZA" w:eastAsia="en-US"/>
              </w:rPr>
              <w:t>(2) For the purposes of sub-regulation (1), a health establishment must:</w:t>
            </w:r>
          </w:p>
          <w:p w14:paraId="70C891A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ensure compliance with applicable road traffic legislation for registration and licensing of vehicles;</w:t>
            </w:r>
          </w:p>
          <w:p w14:paraId="5987DD0D"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(b) implement an effective fleet management system;</w:t>
            </w:r>
          </w:p>
          <w:p w14:paraId="4C381676"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maintain the vehicles in line with manufacturer’s instructions; </w:t>
            </w:r>
          </w:p>
          <w:p w14:paraId="1EC2856F"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(d) ensure that drivers have valid driver's license and/or public transport driving permit; and</w:t>
            </w:r>
          </w:p>
          <w:p w14:paraId="2785C1A0"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(e) where transport is outsourced or arranged through third parties, ensure that services are safe and meet applicable legislation.</w:t>
            </w:r>
          </w:p>
        </w:tc>
        <w:tc>
          <w:tcPr>
            <w:tcW w:w="4536" w:type="dxa"/>
          </w:tcPr>
          <w:p w14:paraId="5161E9D8" w14:textId="77777777" w:rsidR="000D04EF" w:rsidRPr="00D33A1E" w:rsidRDefault="000D04EF" w:rsidP="000D04EF">
            <w:pPr>
              <w:rPr>
                <w:rFonts w:eastAsia="Aptos" w:cs="Arial"/>
                <w:lang w:eastAsia="en-US"/>
              </w:rPr>
            </w:pPr>
          </w:p>
        </w:tc>
        <w:tc>
          <w:tcPr>
            <w:tcW w:w="4961" w:type="dxa"/>
          </w:tcPr>
          <w:p w14:paraId="3454F1B0" w14:textId="77777777" w:rsidR="000D04EF" w:rsidRPr="00D33A1E" w:rsidRDefault="000D04EF" w:rsidP="000D04EF">
            <w:pPr>
              <w:rPr>
                <w:rFonts w:eastAsia="Aptos" w:cs="Arial"/>
                <w:lang w:eastAsia="en-US"/>
              </w:rPr>
            </w:pPr>
          </w:p>
        </w:tc>
      </w:tr>
      <w:tr w:rsidR="000D04EF" w:rsidRPr="00D33A1E" w14:paraId="1DE11586" w14:textId="77777777" w:rsidTr="00326018">
        <w:tc>
          <w:tcPr>
            <w:tcW w:w="5382" w:type="dxa"/>
          </w:tcPr>
          <w:p w14:paraId="679B2529" w14:textId="77777777" w:rsidR="000D04EF" w:rsidRPr="00D33A1E" w:rsidRDefault="000D04EF" w:rsidP="000D04EF">
            <w:pPr>
              <w:spacing w:line="276" w:lineRule="auto"/>
              <w:rPr>
                <w:rFonts w:eastAsia="Aptos" w:cs="Times New Roman"/>
                <w:b/>
                <w:bCs/>
                <w:sz w:val="22"/>
                <w:szCs w:val="22"/>
                <w:lang w:val="en-ZA" w:eastAsia="en-US"/>
              </w:rPr>
            </w:pPr>
            <w:r w:rsidRPr="00D33A1E">
              <w:rPr>
                <w:rFonts w:eastAsia="Aptos" w:cs="Times New Roman"/>
                <w:b/>
                <w:bCs/>
                <w:sz w:val="22"/>
                <w:szCs w:val="22"/>
                <w:lang w:val="en-ZA" w:eastAsia="en-US"/>
              </w:rPr>
              <w:t>Regulation title: 45 Security Services</w:t>
            </w:r>
          </w:p>
          <w:p w14:paraId="45ED7D4C"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Regulation Statement: 45</w:t>
            </w:r>
            <w:r w:rsidRPr="00D33A1E">
              <w:rPr>
                <w:rFonts w:eastAsia="Aptos" w:cs="Times New Roman"/>
                <w:sz w:val="22"/>
                <w:szCs w:val="22"/>
                <w:lang w:val="en-ZA" w:eastAsia="en-US"/>
              </w:rPr>
              <w:t xml:space="preserve"> (1) The health establishment must have systems to protect users, health care personnel, visitors and property from security threats and risks.</w:t>
            </w:r>
          </w:p>
          <w:p w14:paraId="42EC9990"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b/>
                <w:bCs/>
                <w:sz w:val="22"/>
                <w:szCs w:val="22"/>
                <w:lang w:val="en-ZA" w:eastAsia="en-US"/>
              </w:rPr>
              <w:t>Sub-regulation Statements:</w:t>
            </w:r>
            <w:r w:rsidRPr="00D33A1E">
              <w:rPr>
                <w:rFonts w:eastAsia="Aptos" w:cs="Times New Roman"/>
                <w:sz w:val="22"/>
                <w:szCs w:val="22"/>
                <w:lang w:val="en-ZA" w:eastAsia="en-US"/>
              </w:rPr>
              <w:t xml:space="preserve"> (2) For the purposes of sub-regulation (1) the health establishment must-</w:t>
            </w:r>
          </w:p>
          <w:p w14:paraId="09CBF1B2"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(a) develop and implement a security plan that addresses risks pertinent to the health establishment;</w:t>
            </w:r>
          </w:p>
          <w:p w14:paraId="7003FEF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(b) where security officers are used, ensure that they are trained and registered with the relevant regulatory body; </w:t>
            </w:r>
          </w:p>
          <w:p w14:paraId="645970F8"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t xml:space="preserve">(c) have security systems and mechanisms to safeguard the buildings, users, visitors and healthcare personnel; </w:t>
            </w:r>
          </w:p>
          <w:p w14:paraId="564FC41E" w14:textId="77777777" w:rsidR="000D04EF" w:rsidRPr="00D33A1E" w:rsidRDefault="000D04EF" w:rsidP="000D04EF">
            <w:pPr>
              <w:spacing w:line="276" w:lineRule="auto"/>
              <w:rPr>
                <w:rFonts w:eastAsia="Aptos" w:cs="Times New Roman"/>
                <w:sz w:val="22"/>
                <w:szCs w:val="22"/>
                <w:lang w:val="en-ZA" w:eastAsia="en-US"/>
              </w:rPr>
            </w:pPr>
            <w:r w:rsidRPr="00D33A1E">
              <w:rPr>
                <w:rFonts w:eastAsia="Aptos" w:cs="Times New Roman"/>
                <w:sz w:val="22"/>
                <w:szCs w:val="22"/>
                <w:lang w:val="en-ZA" w:eastAsia="en-US"/>
              </w:rPr>
              <w:lastRenderedPageBreak/>
              <w:t>(d) monitor, manage and report security incidents to the relevant structures; and</w:t>
            </w:r>
          </w:p>
          <w:p w14:paraId="4D238D90" w14:textId="77777777" w:rsidR="000D04EF" w:rsidRPr="00D33A1E" w:rsidRDefault="000D04EF" w:rsidP="000D04EF">
            <w:pPr>
              <w:spacing w:line="276" w:lineRule="auto"/>
              <w:rPr>
                <w:rFonts w:eastAsia="Aptos" w:cs="Arial"/>
                <w:b/>
                <w:bCs/>
                <w:lang w:eastAsia="en-US"/>
              </w:rPr>
            </w:pPr>
            <w:r w:rsidRPr="00D33A1E">
              <w:rPr>
                <w:rFonts w:eastAsia="Aptos" w:cs="Times New Roman"/>
                <w:sz w:val="22"/>
                <w:szCs w:val="22"/>
                <w:lang w:val="en-ZA" w:eastAsia="en-US"/>
              </w:rPr>
              <w:t>(e) monitor service provider’s compliance with the service level agreement and take corrective action where required.</w:t>
            </w:r>
          </w:p>
        </w:tc>
        <w:tc>
          <w:tcPr>
            <w:tcW w:w="4536" w:type="dxa"/>
          </w:tcPr>
          <w:p w14:paraId="67FA9EE8" w14:textId="77777777" w:rsidR="000D04EF" w:rsidRPr="00D33A1E" w:rsidRDefault="000D04EF" w:rsidP="000D04EF">
            <w:pPr>
              <w:rPr>
                <w:rFonts w:eastAsia="Aptos" w:cs="Arial"/>
                <w:lang w:eastAsia="en-US"/>
              </w:rPr>
            </w:pPr>
          </w:p>
        </w:tc>
        <w:tc>
          <w:tcPr>
            <w:tcW w:w="4961" w:type="dxa"/>
          </w:tcPr>
          <w:p w14:paraId="14AF2312" w14:textId="77777777" w:rsidR="000D04EF" w:rsidRPr="00D33A1E" w:rsidRDefault="000D04EF" w:rsidP="000D04EF">
            <w:pPr>
              <w:rPr>
                <w:rFonts w:eastAsia="Aptos" w:cs="Arial"/>
                <w:lang w:eastAsia="en-US"/>
              </w:rPr>
            </w:pPr>
          </w:p>
        </w:tc>
      </w:tr>
      <w:tr w:rsidR="000D04EF" w:rsidRPr="00D33A1E" w14:paraId="03757A11" w14:textId="77777777" w:rsidTr="00326018">
        <w:tc>
          <w:tcPr>
            <w:tcW w:w="5382" w:type="dxa"/>
          </w:tcPr>
          <w:p w14:paraId="5F03810E" w14:textId="77777777" w:rsidR="000D04EF" w:rsidRPr="00D33A1E" w:rsidRDefault="000D04EF" w:rsidP="000B57BF">
            <w:pPr>
              <w:spacing w:line="276" w:lineRule="auto"/>
              <w:rPr>
                <w:rFonts w:eastAsia="Aptos" w:cs="Arial"/>
                <w:b/>
                <w:bCs/>
                <w:lang w:eastAsia="en-US"/>
              </w:rPr>
            </w:pPr>
            <w:r w:rsidRPr="00D33A1E">
              <w:rPr>
                <w:rFonts w:eastAsia="Aptos" w:cs="Times New Roman"/>
                <w:b/>
                <w:bCs/>
                <w:sz w:val="22"/>
                <w:szCs w:val="22"/>
                <w:lang w:val="en-ZA" w:eastAsia="en-US"/>
              </w:rPr>
              <w:t>CHAPTER 10: DIGITAL HEALTH AND ARTIFICIAL INTELLIGENCE IN HEALTHCARE</w:t>
            </w:r>
          </w:p>
        </w:tc>
        <w:tc>
          <w:tcPr>
            <w:tcW w:w="4536" w:type="dxa"/>
          </w:tcPr>
          <w:p w14:paraId="247AEBF3" w14:textId="77777777" w:rsidR="000D04EF" w:rsidRPr="00D33A1E" w:rsidRDefault="000D04EF" w:rsidP="000D04EF">
            <w:pPr>
              <w:rPr>
                <w:rFonts w:eastAsia="Aptos" w:cs="Arial"/>
                <w:lang w:eastAsia="en-US"/>
              </w:rPr>
            </w:pPr>
          </w:p>
        </w:tc>
        <w:tc>
          <w:tcPr>
            <w:tcW w:w="4961" w:type="dxa"/>
          </w:tcPr>
          <w:p w14:paraId="1ABA9867" w14:textId="77777777" w:rsidR="000D04EF" w:rsidRPr="00D33A1E" w:rsidRDefault="000D04EF" w:rsidP="000D04EF">
            <w:pPr>
              <w:rPr>
                <w:rFonts w:eastAsia="Aptos" w:cs="Arial"/>
                <w:lang w:eastAsia="en-US"/>
              </w:rPr>
            </w:pPr>
          </w:p>
        </w:tc>
      </w:tr>
      <w:tr w:rsidR="000D04EF" w:rsidRPr="00D33A1E" w14:paraId="66D3C17B" w14:textId="77777777" w:rsidTr="00326018">
        <w:tc>
          <w:tcPr>
            <w:tcW w:w="5382" w:type="dxa"/>
          </w:tcPr>
          <w:p w14:paraId="4CD89F10" w14:textId="77777777" w:rsidR="000D04EF" w:rsidRPr="00D33A1E" w:rsidRDefault="000D04EF" w:rsidP="00F3043D">
            <w:pPr>
              <w:rPr>
                <w:rFonts w:eastAsia="Aptos" w:cs="Times New Roman"/>
                <w:sz w:val="22"/>
                <w:szCs w:val="22"/>
                <w:lang w:val="en-ZA" w:eastAsia="en-US"/>
              </w:rPr>
            </w:pPr>
            <w:r w:rsidRPr="00D33A1E">
              <w:rPr>
                <w:rFonts w:eastAsia="Arial" w:cs="Arial"/>
                <w:b/>
                <w:bCs/>
                <w:sz w:val="22"/>
                <w:szCs w:val="22"/>
                <w:lang w:val="en-US" w:eastAsia="en-US"/>
              </w:rPr>
              <w:t>Regulation Title: 46 Governance of digital health and artificial intelligence</w:t>
            </w:r>
          </w:p>
          <w:p w14:paraId="2D5B0E31" w14:textId="77777777" w:rsidR="000D04EF" w:rsidRPr="00D33A1E" w:rsidRDefault="000D04EF" w:rsidP="00F3043D">
            <w:pPr>
              <w:spacing w:before="120"/>
              <w:rPr>
                <w:rFonts w:eastAsia="Arial" w:cs="Arial"/>
                <w:sz w:val="22"/>
                <w:szCs w:val="22"/>
                <w:lang w:val="en-ZA" w:eastAsia="en-US"/>
              </w:rPr>
            </w:pPr>
            <w:r w:rsidRPr="00D33A1E">
              <w:rPr>
                <w:rFonts w:eastAsia="Arial" w:cs="Arial"/>
                <w:b/>
                <w:bCs/>
                <w:sz w:val="22"/>
                <w:szCs w:val="22"/>
                <w:lang w:val="en-US" w:eastAsia="en-US"/>
              </w:rPr>
              <w:t>Regulation Statement</w:t>
            </w:r>
            <w:r w:rsidRPr="00D33A1E">
              <w:rPr>
                <w:rFonts w:eastAsia="Arial" w:cs="Arial"/>
                <w:sz w:val="22"/>
                <w:szCs w:val="22"/>
                <w:lang w:val="en-US" w:eastAsia="en-US"/>
              </w:rPr>
              <w:t xml:space="preserve">: 46(1) </w:t>
            </w:r>
            <w:r w:rsidRPr="00D33A1E">
              <w:rPr>
                <w:rFonts w:eastAsia="Arial" w:cs="Arial"/>
                <w:sz w:val="22"/>
                <w:szCs w:val="22"/>
                <w:lang w:val="en-ZA" w:eastAsia="en-US"/>
              </w:rPr>
              <w:t>The health establishment must establish and maintain an effective governance framework to ensure the safe, ethical, accountable, equitable, and lawful use of digital health technologies and artificial intelligence systems.</w:t>
            </w:r>
          </w:p>
          <w:p w14:paraId="193C3E6D" w14:textId="77777777" w:rsidR="000D04EF" w:rsidRPr="00D33A1E" w:rsidRDefault="000D04EF" w:rsidP="00F3043D">
            <w:pPr>
              <w:spacing w:before="120"/>
              <w:rPr>
                <w:rFonts w:eastAsia="Arial" w:cs="Arial"/>
                <w:sz w:val="22"/>
                <w:szCs w:val="22"/>
                <w:lang w:val="en-ZA" w:eastAsia="en-US"/>
              </w:rPr>
            </w:pPr>
            <w:r w:rsidRPr="00D33A1E">
              <w:rPr>
                <w:rFonts w:eastAsia="Arial" w:cs="Arial"/>
                <w:b/>
                <w:bCs/>
                <w:sz w:val="22"/>
                <w:szCs w:val="22"/>
                <w:lang w:val="en-US" w:eastAsia="en-US"/>
              </w:rPr>
              <w:t>Sub-regulation Statement</w:t>
            </w:r>
            <w:r w:rsidRPr="00D33A1E">
              <w:rPr>
                <w:rFonts w:eastAsia="Arial" w:cs="Arial"/>
                <w:sz w:val="22"/>
                <w:szCs w:val="22"/>
                <w:lang w:val="en-US" w:eastAsia="en-US"/>
              </w:rPr>
              <w:t>: (2)</w:t>
            </w:r>
            <w:r w:rsidRPr="00D33A1E">
              <w:rPr>
                <w:rFonts w:eastAsia="Arial" w:cs="Arial"/>
                <w:b/>
                <w:bCs/>
                <w:color w:val="1F3864"/>
                <w:sz w:val="22"/>
                <w:szCs w:val="22"/>
                <w:lang w:val="en-US" w:eastAsia="en-US"/>
              </w:rPr>
              <w:t xml:space="preserve"> </w:t>
            </w:r>
            <w:r w:rsidRPr="00D33A1E">
              <w:rPr>
                <w:rFonts w:eastAsia="Arial" w:cs="Arial"/>
                <w:sz w:val="22"/>
                <w:szCs w:val="22"/>
                <w:lang w:val="en-ZA" w:eastAsia="en-US"/>
              </w:rPr>
              <w:t>For the purposes of sub-regulation (1), a health establishment must</w:t>
            </w:r>
          </w:p>
          <w:p w14:paraId="3733A028" w14:textId="77777777" w:rsidR="000D04EF" w:rsidRPr="00D33A1E" w:rsidRDefault="000D04EF" w:rsidP="00F3043D">
            <w:pPr>
              <w:spacing w:before="60"/>
              <w:ind w:left="360" w:hanging="360"/>
              <w:rPr>
                <w:rFonts w:eastAsia="Arial" w:cs="Arial"/>
                <w:sz w:val="22"/>
                <w:szCs w:val="22"/>
                <w:lang w:val="en-ZA" w:eastAsia="en-US"/>
              </w:rPr>
            </w:pPr>
            <w:r w:rsidRPr="00D33A1E">
              <w:rPr>
                <w:rFonts w:eastAsia="Arial" w:cs="Arial"/>
                <w:sz w:val="22"/>
                <w:szCs w:val="22"/>
                <w:lang w:val="en-ZA" w:eastAsia="en-US"/>
              </w:rPr>
              <w:t>(a) establish and maintain documented policies and procedures governing the acquisition, implementation, use, monitoring, evaluation, and retirement of digital health technologies and artificial intelligence systems;</w:t>
            </w:r>
          </w:p>
          <w:p w14:paraId="52940016" w14:textId="77777777" w:rsidR="000D04EF" w:rsidRPr="00D33A1E" w:rsidRDefault="000D04EF" w:rsidP="00F3043D">
            <w:pPr>
              <w:spacing w:before="60"/>
              <w:ind w:left="360" w:hanging="360"/>
              <w:rPr>
                <w:rFonts w:eastAsia="Arial" w:cs="Arial"/>
                <w:sz w:val="22"/>
                <w:szCs w:val="22"/>
                <w:lang w:val="en-ZA" w:eastAsia="en-US"/>
              </w:rPr>
            </w:pPr>
            <w:r w:rsidRPr="00D33A1E">
              <w:rPr>
                <w:rFonts w:eastAsia="Arial" w:cs="Arial"/>
                <w:sz w:val="22"/>
                <w:szCs w:val="22"/>
                <w:lang w:val="en-ZA" w:eastAsia="en-US"/>
              </w:rPr>
              <w:t>(b)</w:t>
            </w:r>
            <w:r w:rsidRPr="00D33A1E">
              <w:rPr>
                <w:rFonts w:eastAsia="Aptos" w:cs="Times New Roman"/>
                <w:sz w:val="22"/>
                <w:szCs w:val="22"/>
                <w:lang w:val="en-ZA" w:eastAsia="en-US"/>
              </w:rPr>
              <w:t xml:space="preserve"> </w:t>
            </w:r>
            <w:r w:rsidRPr="00D33A1E">
              <w:rPr>
                <w:rFonts w:eastAsia="Arial" w:cs="Arial"/>
                <w:sz w:val="22"/>
                <w:szCs w:val="22"/>
                <w:lang w:val="en-ZA" w:eastAsia="en-US"/>
              </w:rPr>
              <w:t>clearly define and communicate roles, responsibilities, authority, and accountability for digital health and artificial intelligence governance;</w:t>
            </w:r>
          </w:p>
          <w:p w14:paraId="12D438DE" w14:textId="77777777" w:rsidR="000D04EF" w:rsidRPr="00D33A1E" w:rsidRDefault="000D04EF" w:rsidP="00F3043D">
            <w:pPr>
              <w:spacing w:before="60"/>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 xml:space="preserve">designate an individual, committee, or governance structure to provide oversight of digital health and </w:t>
            </w:r>
            <w:r w:rsidRPr="00D33A1E">
              <w:rPr>
                <w:rFonts w:eastAsia="Arial" w:cs="Arial"/>
                <w:sz w:val="22"/>
                <w:szCs w:val="22"/>
                <w:lang w:val="en-ZA" w:eastAsia="en-US"/>
              </w:rPr>
              <w:lastRenderedPageBreak/>
              <w:t>artificial intelligence activities, with defined terms of reference;</w:t>
            </w:r>
          </w:p>
          <w:p w14:paraId="72964D33" w14:textId="77777777" w:rsidR="000D04EF" w:rsidRPr="00D33A1E" w:rsidRDefault="000D04EF" w:rsidP="00F3043D">
            <w:pPr>
              <w:spacing w:before="60"/>
              <w:ind w:left="360" w:hanging="360"/>
              <w:rPr>
                <w:rFonts w:eastAsia="Arial" w:cs="Arial"/>
                <w:sz w:val="22"/>
                <w:szCs w:val="22"/>
                <w:lang w:val="en-ZA" w:eastAsia="en-US"/>
              </w:rPr>
            </w:pPr>
            <w:r w:rsidRPr="00D33A1E">
              <w:rPr>
                <w:rFonts w:eastAsia="Arial" w:cs="Arial"/>
                <w:sz w:val="22"/>
                <w:szCs w:val="22"/>
                <w:lang w:val="en-ZA" w:eastAsia="en-US"/>
              </w:rPr>
              <w:t>(d)</w:t>
            </w:r>
            <w:r w:rsidRPr="00D33A1E">
              <w:rPr>
                <w:rFonts w:eastAsia="Aptos" w:cs="Times New Roman"/>
                <w:sz w:val="22"/>
                <w:szCs w:val="22"/>
                <w:lang w:val="en-ZA" w:eastAsia="en-US"/>
              </w:rPr>
              <w:t xml:space="preserve"> </w:t>
            </w:r>
            <w:r w:rsidRPr="00D33A1E">
              <w:rPr>
                <w:rFonts w:eastAsia="Arial" w:cs="Arial"/>
                <w:sz w:val="22"/>
                <w:szCs w:val="22"/>
                <w:lang w:val="en-ZA" w:eastAsia="en-US"/>
              </w:rPr>
              <w:t>identify, assess, manage, monitor, and review risks associated with digital health technologies and artificial intelligence systems;</w:t>
            </w:r>
          </w:p>
          <w:p w14:paraId="0B1C9258" w14:textId="77777777" w:rsidR="000D04EF" w:rsidRPr="00D33A1E" w:rsidRDefault="000D04EF" w:rsidP="00F3043D">
            <w:pPr>
              <w:spacing w:before="60"/>
              <w:ind w:left="360" w:hanging="360"/>
              <w:rPr>
                <w:rFonts w:eastAsia="Arial" w:cs="Arial"/>
                <w:sz w:val="22"/>
                <w:szCs w:val="22"/>
                <w:lang w:val="en-ZA"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integrate digital health and artificial intelligence governance into the organisation's clinical governance, quality improvement, and risk management systems; and</w:t>
            </w:r>
          </w:p>
          <w:p w14:paraId="6226F456" w14:textId="77777777" w:rsidR="000D04EF" w:rsidRPr="00D33A1E" w:rsidRDefault="000D04EF" w:rsidP="00F3043D">
            <w:pPr>
              <w:spacing w:before="60"/>
              <w:ind w:left="360" w:hanging="360"/>
              <w:rPr>
                <w:rFonts w:eastAsia="Aptos" w:cs="Arial"/>
                <w:b/>
                <w:bCs/>
                <w:lang w:eastAsia="en-US"/>
              </w:rPr>
            </w:pPr>
            <w:r w:rsidRPr="00D33A1E">
              <w:rPr>
                <w:rFonts w:eastAsia="Arial" w:cs="Arial"/>
                <w:sz w:val="22"/>
                <w:szCs w:val="22"/>
                <w:lang w:val="en-ZA" w:eastAsia="en-US"/>
              </w:rPr>
              <w:t>(f)</w:t>
            </w:r>
            <w:r w:rsidRPr="00D33A1E">
              <w:rPr>
                <w:rFonts w:eastAsia="Aptos" w:cs="Times New Roman"/>
                <w:sz w:val="22"/>
                <w:szCs w:val="22"/>
                <w:lang w:val="en-ZA" w:eastAsia="en-US"/>
              </w:rPr>
              <w:t xml:space="preserve"> </w:t>
            </w:r>
            <w:r w:rsidRPr="00D33A1E">
              <w:rPr>
                <w:rFonts w:eastAsia="Arial" w:cs="Arial"/>
                <w:sz w:val="22"/>
                <w:szCs w:val="22"/>
                <w:lang w:val="en-ZA" w:eastAsia="en-US"/>
              </w:rPr>
              <w:t>review the effectiveness of its digital health and artificial intelligence governance framework at intervals not exceeding two years, and whenever a significant change in technology or risk profile occurs.</w:t>
            </w:r>
          </w:p>
        </w:tc>
        <w:tc>
          <w:tcPr>
            <w:tcW w:w="4536" w:type="dxa"/>
          </w:tcPr>
          <w:p w14:paraId="0B787431" w14:textId="77777777" w:rsidR="000D04EF" w:rsidRPr="00D33A1E" w:rsidRDefault="000D04EF" w:rsidP="000D04EF">
            <w:pPr>
              <w:rPr>
                <w:rFonts w:eastAsia="Aptos" w:cs="Arial"/>
                <w:lang w:eastAsia="en-US"/>
              </w:rPr>
            </w:pPr>
          </w:p>
        </w:tc>
        <w:tc>
          <w:tcPr>
            <w:tcW w:w="4961" w:type="dxa"/>
          </w:tcPr>
          <w:p w14:paraId="270E3353" w14:textId="77777777" w:rsidR="000D04EF" w:rsidRPr="00D33A1E" w:rsidRDefault="000D04EF" w:rsidP="000D04EF">
            <w:pPr>
              <w:rPr>
                <w:rFonts w:eastAsia="Aptos" w:cs="Arial"/>
                <w:lang w:eastAsia="en-US"/>
              </w:rPr>
            </w:pPr>
          </w:p>
        </w:tc>
      </w:tr>
      <w:tr w:rsidR="000D04EF" w:rsidRPr="00D33A1E" w14:paraId="72BC4FEA" w14:textId="77777777" w:rsidTr="00326018">
        <w:tc>
          <w:tcPr>
            <w:tcW w:w="5382" w:type="dxa"/>
          </w:tcPr>
          <w:p w14:paraId="64B26CB7"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47 Ethical use and protection of healthcare users</w:t>
            </w:r>
          </w:p>
          <w:p w14:paraId="2C018AF0"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Regulation Statement</w:t>
            </w:r>
            <w:r w:rsidRPr="00D33A1E">
              <w:rPr>
                <w:rFonts w:eastAsia="Arial" w:cs="Arial"/>
                <w:sz w:val="22"/>
                <w:szCs w:val="22"/>
                <w:lang w:val="en-ZA" w:eastAsia="en-US"/>
              </w:rPr>
              <w:t>: 47(1) The health establishment must ensure that digital health technologies and artificial intelligence systems are implemented and used in a manner that protects the rights, dignity, privacy, safety, autonomy, and well-being of healthcare users, consistent with Chapter 2 of the National Health Act, 2003, and section 10 of the Constitution of the Republic of South Africa, 1996.</w:t>
            </w:r>
          </w:p>
          <w:p w14:paraId="523BE696"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Sub-regulation Statement</w:t>
            </w:r>
            <w:r w:rsidRPr="00D33A1E">
              <w:rPr>
                <w:rFonts w:eastAsia="Arial" w:cs="Arial"/>
                <w:sz w:val="22"/>
                <w:szCs w:val="22"/>
                <w:lang w:val="en-ZA" w:eastAsia="en-US"/>
              </w:rPr>
              <w:t>: (2) For the purposes of sub-regulation (1), a health establishment must—</w:t>
            </w:r>
          </w:p>
          <w:p w14:paraId="5F09FAAE"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w:t>
            </w:r>
            <w:r w:rsidRPr="00D33A1E">
              <w:rPr>
                <w:rFonts w:eastAsia="Aptos" w:cs="Times New Roman"/>
                <w:sz w:val="22"/>
                <w:szCs w:val="22"/>
                <w:lang w:val="en-ZA" w:eastAsia="en-US"/>
              </w:rPr>
              <w:t xml:space="preserve"> </w:t>
            </w:r>
            <w:r w:rsidRPr="00D33A1E">
              <w:rPr>
                <w:rFonts w:eastAsia="Arial" w:cs="Arial"/>
                <w:sz w:val="22"/>
                <w:szCs w:val="22"/>
                <w:lang w:val="en-ZA" w:eastAsia="en-US"/>
              </w:rPr>
              <w:t xml:space="preserve">inform healthcare users of the use of digital health technologies or artificial intelligence systems </w:t>
            </w:r>
            <w:r w:rsidRPr="00D33A1E">
              <w:rPr>
                <w:rFonts w:eastAsia="Arial" w:cs="Arial"/>
                <w:sz w:val="22"/>
                <w:szCs w:val="22"/>
                <w:lang w:val="en-ZA" w:eastAsia="en-US"/>
              </w:rPr>
              <w:lastRenderedPageBreak/>
              <w:t>where such technologies significantly contribute to healthcare delivery or decision-making affecting that user;</w:t>
            </w:r>
          </w:p>
          <w:p w14:paraId="1CE2DE86"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w:t>
            </w:r>
            <w:r w:rsidRPr="00D33A1E">
              <w:rPr>
                <w:rFonts w:eastAsia="Aptos" w:cs="Times New Roman"/>
                <w:sz w:val="22"/>
                <w:szCs w:val="22"/>
                <w:lang w:val="en-ZA" w:eastAsia="en-US"/>
              </w:rPr>
              <w:t xml:space="preserve"> </w:t>
            </w:r>
            <w:r w:rsidRPr="00D33A1E">
              <w:rPr>
                <w:rFonts w:eastAsia="Arial" w:cs="Arial"/>
                <w:sz w:val="22"/>
                <w:szCs w:val="22"/>
                <w:lang w:val="en-ZA" w:eastAsia="en-US"/>
              </w:rPr>
              <w:t>use digital health technologies and artificial intelligence systems in a manner that respects human dignity and promotes person-centred care;</w:t>
            </w:r>
          </w:p>
          <w:p w14:paraId="467F7114"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establish and maintain appropriate mechanisms to protect healthcare users from harm arising from the use of digital health technologies and artificial intelligence systems;</w:t>
            </w:r>
          </w:p>
          <w:p w14:paraId="2221E129"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healthcare users have access to mechanisms for raising concerns, complaints, or appeals relating to the use of digital health technologies or artificial intelligence systems, including by making available the complaints process contemplated in regulation 15 of these Regulations;</w:t>
            </w:r>
          </w:p>
          <w:p w14:paraId="08C7B405"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implement specific safeguards to protect vulnerable populations from potential adverse impacts associated with digital health technologies and artificial intelligence systems; and</w:t>
            </w:r>
          </w:p>
          <w:p w14:paraId="7051DA49"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(f)</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the use of digital health technologies and artificial intelligence systems complies with applicable ethical and legal requirements, including the ethical guidelines issued by the Health Professions Council of South Africa.</w:t>
            </w:r>
          </w:p>
        </w:tc>
        <w:tc>
          <w:tcPr>
            <w:tcW w:w="4536" w:type="dxa"/>
          </w:tcPr>
          <w:p w14:paraId="0F3024C0" w14:textId="77777777" w:rsidR="000D04EF" w:rsidRPr="00D33A1E" w:rsidRDefault="000D04EF" w:rsidP="00250054">
            <w:pPr>
              <w:rPr>
                <w:rFonts w:eastAsia="Aptos" w:cs="Arial"/>
                <w:lang w:eastAsia="en-US"/>
              </w:rPr>
            </w:pPr>
          </w:p>
        </w:tc>
        <w:tc>
          <w:tcPr>
            <w:tcW w:w="4961" w:type="dxa"/>
          </w:tcPr>
          <w:p w14:paraId="44FE8189" w14:textId="77777777" w:rsidR="000D04EF" w:rsidRPr="00D33A1E" w:rsidRDefault="000D04EF" w:rsidP="00250054">
            <w:pPr>
              <w:rPr>
                <w:rFonts w:eastAsia="Aptos" w:cs="Arial"/>
                <w:lang w:eastAsia="en-US"/>
              </w:rPr>
            </w:pPr>
          </w:p>
        </w:tc>
      </w:tr>
      <w:tr w:rsidR="000D04EF" w:rsidRPr="00D33A1E" w14:paraId="44F96A61" w14:textId="77777777" w:rsidTr="00326018">
        <w:tc>
          <w:tcPr>
            <w:tcW w:w="5382" w:type="dxa"/>
          </w:tcPr>
          <w:p w14:paraId="3D52BA78" w14:textId="77777777" w:rsidR="000D04EF" w:rsidRPr="00D33A1E" w:rsidRDefault="000D04EF" w:rsidP="00F3043D">
            <w:pPr>
              <w:spacing w:line="276" w:lineRule="auto"/>
              <w:rPr>
                <w:rFonts w:eastAsia="Arial" w:cs="Arial"/>
                <w:b/>
                <w:bCs/>
                <w:sz w:val="22"/>
                <w:szCs w:val="22"/>
                <w:lang w:val="en-ZA" w:eastAsia="en-US"/>
              </w:rPr>
            </w:pPr>
            <w:r w:rsidRPr="00D33A1E">
              <w:rPr>
                <w:rFonts w:eastAsia="Arial" w:cs="Arial"/>
                <w:b/>
                <w:bCs/>
                <w:sz w:val="22"/>
                <w:szCs w:val="22"/>
                <w:lang w:val="en-ZA" w:eastAsia="en-US"/>
              </w:rPr>
              <w:lastRenderedPageBreak/>
              <w:t>Regulation Title: 48 Human Oversight and Clinical Accountability</w:t>
            </w:r>
          </w:p>
          <w:p w14:paraId="29C86E2E" w14:textId="77777777" w:rsidR="000D04EF" w:rsidRPr="00D33A1E" w:rsidRDefault="000D04EF" w:rsidP="00F3043D">
            <w:pPr>
              <w:spacing w:line="276" w:lineRule="auto"/>
              <w:rPr>
                <w:rFonts w:eastAsia="Arial" w:cs="Arial"/>
                <w:sz w:val="22"/>
                <w:szCs w:val="22"/>
                <w:lang w:val="en-ZA" w:eastAsia="en-US"/>
              </w:rPr>
            </w:pPr>
            <w:r w:rsidRPr="00D33A1E">
              <w:rPr>
                <w:rFonts w:eastAsia="Arial" w:cs="Arial"/>
                <w:b/>
                <w:bCs/>
                <w:sz w:val="22"/>
                <w:szCs w:val="22"/>
                <w:lang w:val="en-ZA" w:eastAsia="en-US"/>
              </w:rPr>
              <w:t>Regulation Statement</w:t>
            </w:r>
            <w:r w:rsidRPr="00D33A1E">
              <w:rPr>
                <w:rFonts w:eastAsia="Arial" w:cs="Arial"/>
                <w:sz w:val="22"/>
                <w:szCs w:val="22"/>
                <w:lang w:val="en-ZA" w:eastAsia="en-US"/>
              </w:rPr>
              <w:t>: 48(1) The health establishment must ensure that qualified healthcare professionals maintain oversight, responsibility, and accountability for decisions supported by digital health technologies and artificial intelligence systems.</w:t>
            </w:r>
          </w:p>
          <w:p w14:paraId="0937935C" w14:textId="77777777" w:rsidR="000D04EF" w:rsidRPr="00D33A1E" w:rsidRDefault="000D04EF" w:rsidP="000D04EF">
            <w:pPr>
              <w:spacing w:before="120" w:line="276" w:lineRule="auto"/>
              <w:rPr>
                <w:rFonts w:eastAsia="Arial" w:cs="Arial"/>
                <w:sz w:val="22"/>
                <w:szCs w:val="22"/>
                <w:lang w:val="en-ZA" w:eastAsia="en-US"/>
              </w:rPr>
            </w:pPr>
            <w:r w:rsidRPr="00D33A1E">
              <w:rPr>
                <w:rFonts w:eastAsia="Arial" w:cs="Arial"/>
                <w:b/>
                <w:bCs/>
                <w:sz w:val="22"/>
                <w:szCs w:val="22"/>
                <w:lang w:val="en-ZA" w:eastAsia="en-US"/>
              </w:rPr>
              <w:t>Sub-regulation Statement</w:t>
            </w:r>
            <w:r w:rsidRPr="00D33A1E">
              <w:rPr>
                <w:rFonts w:eastAsia="Arial" w:cs="Arial"/>
                <w:sz w:val="22"/>
                <w:szCs w:val="22"/>
                <w:lang w:val="en-ZA" w:eastAsia="en-US"/>
              </w:rPr>
              <w:t>: (2)</w:t>
            </w:r>
            <w:r w:rsidRPr="00D33A1E">
              <w:rPr>
                <w:rFonts w:eastAsia="Arial" w:cs="Arial"/>
                <w:b/>
                <w:bCs/>
                <w:color w:val="1F3864"/>
                <w:sz w:val="22"/>
                <w:szCs w:val="22"/>
                <w:lang w:val="en-ZA" w:eastAsia="en-US"/>
              </w:rPr>
              <w:t xml:space="preserve"> </w:t>
            </w:r>
            <w:r w:rsidRPr="00D33A1E">
              <w:rPr>
                <w:rFonts w:eastAsia="Arial" w:cs="Arial"/>
                <w:sz w:val="22"/>
                <w:szCs w:val="22"/>
                <w:lang w:val="en-ZA" w:eastAsia="en-US"/>
              </w:rPr>
              <w:t>For the purposes of sub-regulation (1), a health establishment must—</w:t>
            </w:r>
          </w:p>
          <w:p w14:paraId="341CF030" w14:textId="77777777" w:rsidR="000D04EF" w:rsidRPr="00D33A1E" w:rsidRDefault="000D04EF" w:rsidP="000D04EF">
            <w:pPr>
              <w:spacing w:before="60" w:line="276" w:lineRule="auto"/>
              <w:ind w:left="360" w:hanging="360"/>
              <w:rPr>
                <w:rFonts w:eastAsia="Arial" w:cs="Arial"/>
                <w:sz w:val="22"/>
                <w:szCs w:val="22"/>
                <w:lang w:val="en-ZA" w:eastAsia="en-US"/>
              </w:rPr>
            </w:pPr>
            <w:r w:rsidRPr="00D33A1E">
              <w:rPr>
                <w:rFonts w:eastAsia="Arial" w:cs="Arial"/>
                <w:sz w:val="22"/>
                <w:szCs w:val="22"/>
                <w:lang w:val="en-ZA" w:eastAsia="en-US"/>
              </w:rPr>
              <w:t>(a)</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artificial intelligence systems support and do not replace professional clinical judgement;</w:t>
            </w:r>
          </w:p>
          <w:p w14:paraId="55372B04" w14:textId="77777777" w:rsidR="000D04EF" w:rsidRPr="00D33A1E" w:rsidRDefault="000D04EF" w:rsidP="000D04EF">
            <w:pPr>
              <w:spacing w:before="60" w:line="276" w:lineRule="auto"/>
              <w:ind w:left="360" w:hanging="360"/>
              <w:rPr>
                <w:rFonts w:eastAsia="Arial" w:cs="Arial"/>
                <w:sz w:val="22"/>
                <w:szCs w:val="22"/>
                <w:lang w:val="en-ZA" w:eastAsia="en-US"/>
              </w:rPr>
            </w:pPr>
            <w:r w:rsidRPr="00D33A1E">
              <w:rPr>
                <w:rFonts w:eastAsia="Arial" w:cs="Arial"/>
                <w:sz w:val="22"/>
                <w:szCs w:val="22"/>
                <w:lang w:val="en-ZA" w:eastAsia="en-US"/>
              </w:rPr>
              <w:t>(b) ensure that final accountability for clinical decisions remains with the appropriately authorised healthcare professional in terms of the Health Professions Act, 1974;</w:t>
            </w:r>
          </w:p>
          <w:p w14:paraId="407A2087" w14:textId="77777777" w:rsidR="000D04EF" w:rsidRPr="00D33A1E" w:rsidRDefault="000D04EF" w:rsidP="000D04EF">
            <w:pPr>
              <w:spacing w:before="60"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healthcare professionals are able to review, question, validate, and override artificial intelligence-generated outputs where appropriate;</w:t>
            </w:r>
          </w:p>
          <w:p w14:paraId="283EC059" w14:textId="77777777" w:rsidR="000D04EF" w:rsidRPr="00D33A1E" w:rsidRDefault="000D04EF" w:rsidP="000D04EF">
            <w:pPr>
              <w:spacing w:before="60" w:line="276" w:lineRule="auto"/>
              <w:ind w:left="360" w:hanging="360"/>
              <w:rPr>
                <w:rFonts w:eastAsia="Arial" w:cs="Arial"/>
                <w:sz w:val="22"/>
                <w:szCs w:val="22"/>
                <w:lang w:val="en-ZA" w:eastAsia="en-US"/>
              </w:rPr>
            </w:pPr>
            <w:r w:rsidRPr="00D33A1E">
              <w:rPr>
                <w:rFonts w:eastAsia="Arial" w:cs="Arial"/>
                <w:sz w:val="22"/>
                <w:szCs w:val="22"/>
                <w:lang w:val="en-ZA" w:eastAsia="en-US"/>
              </w:rPr>
              <w:t>(d) ensure that clinical decisions with the potential to significantly affect patient safety are not based solely on artificial intelligence outputs;</w:t>
            </w:r>
          </w:p>
          <w:p w14:paraId="0A65DFFD" w14:textId="77777777" w:rsidR="000D04EF" w:rsidRPr="00D33A1E" w:rsidRDefault="000D04EF" w:rsidP="000D04EF">
            <w:pPr>
              <w:spacing w:before="60" w:line="276" w:lineRule="auto"/>
              <w:ind w:left="360" w:hanging="360"/>
              <w:rPr>
                <w:rFonts w:eastAsia="Arial" w:cs="Arial"/>
                <w:sz w:val="22"/>
                <w:szCs w:val="22"/>
                <w:lang w:val="en-ZA"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 xml:space="preserve">ensure that artificial intelligence systems do not independently undertake diagnosis, prescribing, treatment decisions, withdrawal of treatment, or </w:t>
            </w:r>
            <w:r w:rsidRPr="00D33A1E">
              <w:rPr>
                <w:rFonts w:eastAsia="Arial" w:cs="Arial"/>
                <w:sz w:val="22"/>
                <w:szCs w:val="22"/>
                <w:lang w:val="en-ZA" w:eastAsia="en-US"/>
              </w:rPr>
              <w:lastRenderedPageBreak/>
              <w:t>end-of-life decisions without appropriate human oversight; and</w:t>
            </w:r>
          </w:p>
          <w:p w14:paraId="014EB598" w14:textId="77777777" w:rsidR="000D04EF" w:rsidRPr="00D33A1E" w:rsidRDefault="000D04EF" w:rsidP="000D04EF">
            <w:pPr>
              <w:spacing w:before="60" w:line="276" w:lineRule="auto"/>
              <w:ind w:left="360" w:hanging="360"/>
              <w:rPr>
                <w:rFonts w:eastAsia="Aptos" w:cs="Arial"/>
                <w:b/>
                <w:bCs/>
                <w:lang w:eastAsia="en-US"/>
              </w:rPr>
            </w:pPr>
            <w:r w:rsidRPr="00D33A1E">
              <w:rPr>
                <w:rFonts w:eastAsia="Arial" w:cs="Arial"/>
                <w:sz w:val="22"/>
                <w:szCs w:val="22"/>
                <w:lang w:val="en-ZA" w:eastAsia="en-US"/>
              </w:rPr>
              <w:t>(f)</w:t>
            </w:r>
            <w:r w:rsidRPr="00D33A1E">
              <w:rPr>
                <w:rFonts w:eastAsia="Aptos" w:cs="Times New Roman"/>
                <w:sz w:val="22"/>
                <w:szCs w:val="22"/>
                <w:lang w:val="en-ZA" w:eastAsia="en-US"/>
              </w:rPr>
              <w:t xml:space="preserve"> </w:t>
            </w:r>
            <w:r w:rsidRPr="00D33A1E">
              <w:rPr>
                <w:rFonts w:eastAsia="Arial" w:cs="Arial"/>
                <w:sz w:val="22"/>
                <w:szCs w:val="22"/>
                <w:lang w:val="en-ZA" w:eastAsia="en-US"/>
              </w:rPr>
              <w:t>calibrate the level of human oversight to be proportionate to the risk classification of the artificial intelligence system as contemplated in regulation [56] of this Chapter.</w:t>
            </w:r>
          </w:p>
        </w:tc>
        <w:tc>
          <w:tcPr>
            <w:tcW w:w="4536" w:type="dxa"/>
          </w:tcPr>
          <w:p w14:paraId="4399430A" w14:textId="77777777" w:rsidR="000D04EF" w:rsidRPr="00D33A1E" w:rsidRDefault="000D04EF" w:rsidP="000D04EF">
            <w:pPr>
              <w:rPr>
                <w:rFonts w:eastAsia="Aptos" w:cs="Arial"/>
                <w:lang w:eastAsia="en-US"/>
              </w:rPr>
            </w:pPr>
          </w:p>
        </w:tc>
        <w:tc>
          <w:tcPr>
            <w:tcW w:w="4961" w:type="dxa"/>
          </w:tcPr>
          <w:p w14:paraId="69ADA0A9" w14:textId="77777777" w:rsidR="000D04EF" w:rsidRPr="00D33A1E" w:rsidRDefault="000D04EF" w:rsidP="000D04EF">
            <w:pPr>
              <w:rPr>
                <w:rFonts w:eastAsia="Aptos" w:cs="Arial"/>
                <w:lang w:eastAsia="en-US"/>
              </w:rPr>
            </w:pPr>
          </w:p>
        </w:tc>
      </w:tr>
      <w:tr w:rsidR="000D04EF" w:rsidRPr="00D33A1E" w14:paraId="2FA64ED2" w14:textId="77777777" w:rsidTr="00326018">
        <w:tc>
          <w:tcPr>
            <w:tcW w:w="5382" w:type="dxa"/>
          </w:tcPr>
          <w:p w14:paraId="2F72F62A"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49 Data governance and information management</w:t>
            </w:r>
          </w:p>
          <w:p w14:paraId="685A6473"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Regulation Statement</w:t>
            </w:r>
            <w:r w:rsidRPr="00D33A1E">
              <w:rPr>
                <w:rFonts w:eastAsia="Arial" w:cs="Arial"/>
                <w:sz w:val="22"/>
                <w:szCs w:val="22"/>
                <w:lang w:val="en-ZA" w:eastAsia="en-US"/>
              </w:rPr>
              <w:t>: 49(1)</w:t>
            </w:r>
            <w:r w:rsidRPr="00D33A1E">
              <w:rPr>
                <w:rFonts w:eastAsia="Arial" w:cs="Arial"/>
                <w:b/>
                <w:bCs/>
                <w:sz w:val="22"/>
                <w:szCs w:val="22"/>
                <w:lang w:val="en-ZA" w:eastAsia="en-US"/>
              </w:rPr>
              <w:t xml:space="preserve"> </w:t>
            </w:r>
            <w:r w:rsidRPr="00D33A1E">
              <w:rPr>
                <w:rFonts w:eastAsia="Arial" w:cs="Arial"/>
                <w:sz w:val="22"/>
                <w:szCs w:val="22"/>
                <w:lang w:val="en-ZA" w:eastAsia="en-US"/>
              </w:rPr>
              <w:t>The health establishment must ensure the secure, lawful, accurate and complete,  management of health information used by digital health technologies and artificial intelligence systems, in accordance with POPIA and Chapter 7 of these Regulations.</w:t>
            </w:r>
          </w:p>
          <w:p w14:paraId="6ECC7CA5"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Sub-regulation Statement:</w:t>
            </w:r>
            <w:r w:rsidRPr="00D33A1E">
              <w:rPr>
                <w:rFonts w:eastAsia="Arial" w:cs="Arial"/>
                <w:sz w:val="22"/>
                <w:szCs w:val="22"/>
                <w:lang w:val="en-ZA" w:eastAsia="en-US"/>
              </w:rPr>
              <w:t xml:space="preserve"> (2)</w:t>
            </w:r>
            <w:r w:rsidRPr="00D33A1E">
              <w:rPr>
                <w:rFonts w:eastAsia="Arial" w:cs="Arial"/>
                <w:b/>
                <w:bCs/>
                <w:sz w:val="22"/>
                <w:szCs w:val="22"/>
                <w:lang w:val="en-ZA" w:eastAsia="en-US"/>
              </w:rPr>
              <w:t xml:space="preserve"> </w:t>
            </w:r>
            <w:r w:rsidRPr="00D33A1E">
              <w:rPr>
                <w:rFonts w:eastAsia="Arial" w:cs="Arial"/>
                <w:sz w:val="22"/>
                <w:szCs w:val="22"/>
                <w:lang w:val="en-ZA" w:eastAsia="en-US"/>
              </w:rPr>
              <w:t>For the purposes of sub-regulation (1), a health establishment must—</w:t>
            </w:r>
          </w:p>
          <w:p w14:paraId="35D6C339"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collect, process, store, retain, share, and dispose of personal health information in accordance with the conditions for lawful processing prescribed in POPIA and any applicable codes of conduct issued by the Information Regulator;</w:t>
            </w:r>
          </w:p>
          <w:p w14:paraId="0B0C3029"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implement  technical, organisational, and administrative safeguards to protect the confidentiality, integrity, availability, and authenticity of health information;</w:t>
            </w:r>
          </w:p>
          <w:p w14:paraId="6DA04F30"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lastRenderedPageBreak/>
              <w:t>(c)</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data used by digital health technologies and artificial intelligence systems is accurate, complete, relevant, current, and fit for the intended purpose;</w:t>
            </w:r>
          </w:p>
          <w:p w14:paraId="3A0ACA6A"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restrict access to health information to authorised individuals in accordance with a documented access control policy;</w:t>
            </w:r>
          </w:p>
          <w:p w14:paraId="4B042697"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maintain audit trails for the creation, access, modification, sharing, and deletion of health information and artificial intelligence system outputs; and</w:t>
            </w:r>
          </w:p>
          <w:p w14:paraId="79493FC6"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(f)</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data governance arrangements support accountability, traceability, and transparency in accordance with POPIA and applicable clinical governance requirements.</w:t>
            </w:r>
          </w:p>
        </w:tc>
        <w:tc>
          <w:tcPr>
            <w:tcW w:w="4536" w:type="dxa"/>
          </w:tcPr>
          <w:p w14:paraId="0A2095BB" w14:textId="77777777" w:rsidR="000D04EF" w:rsidRPr="00D33A1E" w:rsidRDefault="000D04EF" w:rsidP="00250054">
            <w:pPr>
              <w:rPr>
                <w:rFonts w:eastAsia="Aptos" w:cs="Arial"/>
                <w:lang w:eastAsia="en-US"/>
              </w:rPr>
            </w:pPr>
          </w:p>
        </w:tc>
        <w:tc>
          <w:tcPr>
            <w:tcW w:w="4961" w:type="dxa"/>
          </w:tcPr>
          <w:p w14:paraId="1F1CD1B8" w14:textId="77777777" w:rsidR="000D04EF" w:rsidRPr="00D33A1E" w:rsidRDefault="000D04EF" w:rsidP="00250054">
            <w:pPr>
              <w:rPr>
                <w:rFonts w:eastAsia="Aptos" w:cs="Arial"/>
                <w:lang w:eastAsia="en-US"/>
              </w:rPr>
            </w:pPr>
          </w:p>
        </w:tc>
      </w:tr>
      <w:tr w:rsidR="000D04EF" w:rsidRPr="00D33A1E" w14:paraId="17E5F4B8" w14:textId="77777777" w:rsidTr="00326018">
        <w:tc>
          <w:tcPr>
            <w:tcW w:w="5382" w:type="dxa"/>
          </w:tcPr>
          <w:p w14:paraId="1A2A9300"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50 Interoperability and health information exchange</w:t>
            </w:r>
          </w:p>
          <w:p w14:paraId="6E563021"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50(1)</w:t>
            </w:r>
            <w:r w:rsidRPr="00D33A1E">
              <w:rPr>
                <w:rFonts w:eastAsia="Arial" w:cs="Arial"/>
                <w:b/>
                <w:bCs/>
                <w:sz w:val="22"/>
                <w:szCs w:val="22"/>
                <w:lang w:val="en-ZA" w:eastAsia="en-US"/>
              </w:rPr>
              <w:t xml:space="preserve"> </w:t>
            </w:r>
            <w:r w:rsidRPr="00D33A1E">
              <w:rPr>
                <w:rFonts w:eastAsia="Arial" w:cs="Arial"/>
                <w:sz w:val="22"/>
                <w:szCs w:val="22"/>
                <w:lang w:val="en-ZA" w:eastAsia="en-US"/>
              </w:rPr>
              <w:t>The health establishment must ensure that digital health technologies support secure, standardised, interoperable, and efficient exchange of health information to promote continuity of care.</w:t>
            </w:r>
          </w:p>
          <w:p w14:paraId="7B81469D"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w:t>
            </w:r>
            <w:r w:rsidRPr="00D33A1E">
              <w:rPr>
                <w:rFonts w:eastAsia="Arial" w:cs="Arial"/>
                <w:sz w:val="22"/>
                <w:szCs w:val="22"/>
                <w:lang w:val="en-ZA" w:eastAsia="en-US"/>
              </w:rPr>
              <w:t>(2)</w:t>
            </w:r>
            <w:r w:rsidRPr="00D33A1E">
              <w:rPr>
                <w:rFonts w:eastAsia="Arial" w:cs="Arial"/>
                <w:b/>
                <w:bCs/>
                <w:sz w:val="22"/>
                <w:szCs w:val="22"/>
                <w:lang w:val="en-ZA" w:eastAsia="en-US"/>
              </w:rPr>
              <w:t xml:space="preserve"> </w:t>
            </w:r>
            <w:r w:rsidRPr="00D33A1E">
              <w:rPr>
                <w:rFonts w:eastAsia="Arial" w:cs="Arial"/>
                <w:sz w:val="22"/>
                <w:szCs w:val="22"/>
                <w:lang w:val="en-ZA" w:eastAsia="en-US"/>
              </w:rPr>
              <w:t>For the purposes of sub-regulation (1), a health establishment must—</w:t>
            </w:r>
          </w:p>
          <w:p w14:paraId="297EF324"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digital health technologies support interoperability with other authorised health information systems where appropriate;</w:t>
            </w:r>
          </w:p>
          <w:p w14:paraId="06427A88"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lastRenderedPageBreak/>
              <w:t>(b)</w:t>
            </w:r>
            <w:r w:rsidRPr="00D33A1E">
              <w:rPr>
                <w:rFonts w:eastAsia="Aptos" w:cs="Times New Roman"/>
                <w:sz w:val="22"/>
                <w:szCs w:val="22"/>
                <w:lang w:val="en-ZA" w:eastAsia="en-US"/>
              </w:rPr>
              <w:t xml:space="preserve"> </w:t>
            </w:r>
            <w:r w:rsidRPr="00D33A1E">
              <w:rPr>
                <w:rFonts w:eastAsia="Arial" w:cs="Arial"/>
                <w:sz w:val="22"/>
                <w:szCs w:val="22"/>
                <w:lang w:val="en-ZA" w:eastAsia="en-US"/>
              </w:rPr>
              <w:t>use recognised health information and data exchange standards to support consistency, quality, and comparability of information;</w:t>
            </w:r>
          </w:p>
          <w:p w14:paraId="3F636DB3"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information exchange mechanisms protect the confidentiality, integrity, and security of health information;</w:t>
            </w:r>
          </w:p>
          <w:p w14:paraId="64745201"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facilitate the availability of relevant health information at the point of care; and</w:t>
            </w:r>
          </w:p>
          <w:p w14:paraId="5D7AD25E"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interoperability arrangements support continuity, coordination, and integration of care across the care continuum.</w:t>
            </w:r>
          </w:p>
        </w:tc>
        <w:tc>
          <w:tcPr>
            <w:tcW w:w="4536" w:type="dxa"/>
          </w:tcPr>
          <w:p w14:paraId="4BE55077" w14:textId="77777777" w:rsidR="000D04EF" w:rsidRPr="00D33A1E" w:rsidRDefault="000D04EF" w:rsidP="00250054">
            <w:pPr>
              <w:rPr>
                <w:rFonts w:eastAsia="Aptos" w:cs="Arial"/>
                <w:lang w:eastAsia="en-US"/>
              </w:rPr>
            </w:pPr>
          </w:p>
        </w:tc>
        <w:tc>
          <w:tcPr>
            <w:tcW w:w="4961" w:type="dxa"/>
          </w:tcPr>
          <w:p w14:paraId="374CC9C9" w14:textId="77777777" w:rsidR="000D04EF" w:rsidRPr="00D33A1E" w:rsidRDefault="000D04EF" w:rsidP="00250054">
            <w:pPr>
              <w:rPr>
                <w:rFonts w:eastAsia="Aptos" w:cs="Arial"/>
                <w:lang w:eastAsia="en-US"/>
              </w:rPr>
            </w:pPr>
          </w:p>
        </w:tc>
      </w:tr>
      <w:tr w:rsidR="000D04EF" w:rsidRPr="00D33A1E" w14:paraId="27A9A519" w14:textId="77777777" w:rsidTr="00326018">
        <w:tc>
          <w:tcPr>
            <w:tcW w:w="5382" w:type="dxa"/>
          </w:tcPr>
          <w:p w14:paraId="6BEA025E"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51 Validation, safety and performance of artificial intelligence systems</w:t>
            </w:r>
          </w:p>
          <w:p w14:paraId="0B69D3F3"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51 (1)</w:t>
            </w:r>
            <w:r w:rsidRPr="00D33A1E">
              <w:rPr>
                <w:rFonts w:eastAsia="Arial" w:cs="Arial"/>
                <w:b/>
                <w:bCs/>
                <w:sz w:val="22"/>
                <w:szCs w:val="22"/>
                <w:lang w:val="en-ZA" w:eastAsia="en-US"/>
              </w:rPr>
              <w:t xml:space="preserve">  </w:t>
            </w:r>
            <w:r w:rsidRPr="00D33A1E">
              <w:rPr>
                <w:rFonts w:eastAsia="Arial" w:cs="Arial"/>
                <w:sz w:val="22"/>
                <w:szCs w:val="22"/>
                <w:lang w:val="en-ZA" w:eastAsia="en-US"/>
              </w:rPr>
              <w:t>The health establishment must ensure that artificial intelligence systems are validated, safe, effective, reliable, and fit for their intended purpose before and during use.</w:t>
            </w:r>
          </w:p>
          <w:p w14:paraId="75F4D83B"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sz w:val="22"/>
                <w:szCs w:val="22"/>
                <w:lang w:val="en-ZA" w:eastAsia="en-US"/>
              </w:rPr>
              <w:t>Sub-regulation Statement: (2)  For the purposes of sub-regulation (1), a health establishment must—</w:t>
            </w:r>
          </w:p>
          <w:p w14:paraId="4D185029"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ensure that artificial intelligence systems undergo appropriate validation prior to implementation;</w:t>
            </w:r>
          </w:p>
          <w:p w14:paraId="38C81122"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ensure that evidence supporting the safety, performance, effectiveness, and intended use of artificial intelligence systems is available and maintained;</w:t>
            </w:r>
          </w:p>
          <w:p w14:paraId="6E460FD4"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 xml:space="preserve">assess the suitability of any artificial intelligence system for use within the South African healthcare </w:t>
            </w:r>
            <w:r w:rsidRPr="00D33A1E">
              <w:rPr>
                <w:rFonts w:eastAsia="Arial" w:cs="Arial"/>
                <w:sz w:val="22"/>
                <w:szCs w:val="22"/>
                <w:lang w:val="en-ZA" w:eastAsia="en-US"/>
              </w:rPr>
              <w:lastRenderedPageBreak/>
              <w:t>context, including consideration of the demographic, epidemiological, and resource characteristics of the South African population;</w:t>
            </w:r>
          </w:p>
          <w:p w14:paraId="10DA26FD"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monitor artificial intelligence systems throughout their operational lifecycle for performance, reliability, unintended consequences, and emerging safety risks;</w:t>
            </w:r>
          </w:p>
          <w:p w14:paraId="1C166BD7"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implement corrective actions when safety concerns, performance failures, or unintended outcomes are identified; and</w:t>
            </w:r>
          </w:p>
          <w:p w14:paraId="143A6FF4" w14:textId="51FD7DCB"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(f)</w:t>
            </w:r>
            <w:r w:rsidRPr="00D33A1E">
              <w:rPr>
                <w:rFonts w:eastAsia="Aptos" w:cs="Times New Roman"/>
                <w:sz w:val="22"/>
                <w:szCs w:val="22"/>
                <w:lang w:val="en-ZA" w:eastAsia="en-US"/>
              </w:rPr>
              <w:t xml:space="preserve"> </w:t>
            </w:r>
            <w:r w:rsidRPr="00D33A1E">
              <w:rPr>
                <w:rFonts w:eastAsia="Arial" w:cs="Arial"/>
                <w:sz w:val="22"/>
                <w:szCs w:val="22"/>
                <w:lang w:val="en-ZA" w:eastAsia="en-US"/>
              </w:rPr>
              <w:t>periodically review the continued suitability and effectiveness of artificial intelligence systems at intervals not exceeding two years.</w:t>
            </w:r>
          </w:p>
        </w:tc>
        <w:tc>
          <w:tcPr>
            <w:tcW w:w="4536" w:type="dxa"/>
          </w:tcPr>
          <w:p w14:paraId="20E58DC1" w14:textId="77777777" w:rsidR="000D04EF" w:rsidRPr="00D33A1E" w:rsidRDefault="000D04EF" w:rsidP="00250054">
            <w:pPr>
              <w:rPr>
                <w:rFonts w:eastAsia="Aptos" w:cs="Arial"/>
                <w:lang w:eastAsia="en-US"/>
              </w:rPr>
            </w:pPr>
          </w:p>
        </w:tc>
        <w:tc>
          <w:tcPr>
            <w:tcW w:w="4961" w:type="dxa"/>
          </w:tcPr>
          <w:p w14:paraId="217BDBBD" w14:textId="77777777" w:rsidR="000D04EF" w:rsidRPr="00D33A1E" w:rsidRDefault="000D04EF" w:rsidP="00250054">
            <w:pPr>
              <w:rPr>
                <w:rFonts w:eastAsia="Aptos" w:cs="Arial"/>
                <w:lang w:eastAsia="en-US"/>
              </w:rPr>
            </w:pPr>
          </w:p>
        </w:tc>
      </w:tr>
      <w:tr w:rsidR="000D04EF" w:rsidRPr="00D33A1E" w14:paraId="1C01E991" w14:textId="77777777" w:rsidTr="00326018">
        <w:tc>
          <w:tcPr>
            <w:tcW w:w="5382" w:type="dxa"/>
          </w:tcPr>
          <w:p w14:paraId="322F75D7"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(3)  </w:t>
            </w:r>
            <w:r w:rsidRPr="00D33A1E">
              <w:rPr>
                <w:rFonts w:eastAsia="Arial" w:cs="Arial"/>
                <w:sz w:val="22"/>
                <w:szCs w:val="22"/>
                <w:lang w:val="en-ZA" w:eastAsia="en-US"/>
              </w:rPr>
              <w:t>Where an artificial intelligence system constitutes a software as a medical device, the health establishment must-</w:t>
            </w:r>
          </w:p>
          <w:p w14:paraId="61C89710"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verify that the system has been evaluated or registered by SAHPRA in accordance with applicable requirements before clinical implementation; and</w:t>
            </w:r>
          </w:p>
          <w:p w14:paraId="67583879"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(b) not implement or continue to use a software as a medical device that does not comply with applicable SAHPRA requirements, unless expressly authorised to do so by SAHPRA.</w:t>
            </w:r>
          </w:p>
        </w:tc>
        <w:tc>
          <w:tcPr>
            <w:tcW w:w="4536" w:type="dxa"/>
          </w:tcPr>
          <w:p w14:paraId="3E7B56DE" w14:textId="77777777" w:rsidR="000D04EF" w:rsidRPr="00D33A1E" w:rsidRDefault="000D04EF" w:rsidP="00250054">
            <w:pPr>
              <w:rPr>
                <w:rFonts w:eastAsia="Aptos" w:cs="Arial"/>
                <w:lang w:eastAsia="en-US"/>
              </w:rPr>
            </w:pPr>
          </w:p>
        </w:tc>
        <w:tc>
          <w:tcPr>
            <w:tcW w:w="4961" w:type="dxa"/>
          </w:tcPr>
          <w:p w14:paraId="1CC0657B" w14:textId="77777777" w:rsidR="000D04EF" w:rsidRPr="00D33A1E" w:rsidRDefault="000D04EF" w:rsidP="00250054">
            <w:pPr>
              <w:rPr>
                <w:rFonts w:eastAsia="Aptos" w:cs="Arial"/>
                <w:lang w:eastAsia="en-US"/>
              </w:rPr>
            </w:pPr>
          </w:p>
        </w:tc>
      </w:tr>
      <w:tr w:rsidR="000D04EF" w:rsidRPr="00D33A1E" w14:paraId="30828D24" w14:textId="77777777" w:rsidTr="00326018">
        <w:tc>
          <w:tcPr>
            <w:tcW w:w="5382" w:type="dxa"/>
          </w:tcPr>
          <w:p w14:paraId="106A16E7"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52 Algorithmic transparency and explainability</w:t>
            </w:r>
          </w:p>
          <w:p w14:paraId="50FD4A5F"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lastRenderedPageBreak/>
              <w:t xml:space="preserve">Regulation Statement: </w:t>
            </w:r>
            <w:r w:rsidRPr="00D33A1E">
              <w:rPr>
                <w:rFonts w:eastAsia="Arial" w:cs="Arial"/>
                <w:sz w:val="22"/>
                <w:szCs w:val="22"/>
                <w:lang w:val="en-ZA" w:eastAsia="en-US"/>
              </w:rPr>
              <w:t>52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ensure that artificial intelligence systems are sufficiently transparent and explainable to support safe, informed, and accountable decision-making.</w:t>
            </w:r>
          </w:p>
          <w:p w14:paraId="201B1008"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Sub-regulation Statement:</w:t>
            </w:r>
            <w:r w:rsidRPr="00D33A1E">
              <w:rPr>
                <w:rFonts w:eastAsia="Arial" w:cs="Arial"/>
                <w:sz w:val="22"/>
                <w:szCs w:val="22"/>
                <w:lang w:val="en-ZA" w:eastAsia="en-US"/>
              </w:rPr>
              <w:t xml:space="preserve"> </w:t>
            </w:r>
            <w:r w:rsidRPr="00D33A1E">
              <w:rPr>
                <w:rFonts w:eastAsia="Arial" w:cs="Arial"/>
                <w:b/>
                <w:bCs/>
                <w:sz w:val="22"/>
                <w:szCs w:val="22"/>
                <w:lang w:val="en-ZA" w:eastAsia="en-US"/>
              </w:rPr>
              <w:t xml:space="preserve">(2)  </w:t>
            </w:r>
            <w:r w:rsidRPr="00D33A1E">
              <w:rPr>
                <w:rFonts w:eastAsia="Arial" w:cs="Arial"/>
                <w:sz w:val="22"/>
                <w:szCs w:val="22"/>
                <w:lang w:val="en-ZA" w:eastAsia="en-US"/>
              </w:rPr>
              <w:t>For the purposes of sub-regulation (1), a health establishment must—</w:t>
            </w:r>
          </w:p>
          <w:p w14:paraId="4942BD80"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ensure that appropriate information regarding the purpose, capabilities, limitations, and intended use of artificial intelligence systems is available and accessible to users;</w:t>
            </w:r>
          </w:p>
          <w:p w14:paraId="206CB2FD"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provide healthcare professionals with sufficient information to understand and appropriately interpret artificial intelligence outputs, including information on confidence levels, uncertainty, and known limitations;</w:t>
            </w:r>
          </w:p>
          <w:p w14:paraId="051B6570"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significant artificial intelligence-assisted decisions are traceable and auditable in accordance with regulation 49(2)(e);</w:t>
            </w:r>
          </w:p>
          <w:p w14:paraId="070F1EC8"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w:t>
            </w:r>
            <w:r w:rsidRPr="00D33A1E">
              <w:rPr>
                <w:rFonts w:eastAsia="Aptos" w:cs="Times New Roman"/>
                <w:sz w:val="22"/>
                <w:szCs w:val="22"/>
                <w:lang w:val="en-ZA" w:eastAsia="en-US"/>
              </w:rPr>
              <w:t xml:space="preserve"> </w:t>
            </w:r>
            <w:r w:rsidRPr="00D33A1E">
              <w:rPr>
                <w:rFonts w:eastAsia="Arial" w:cs="Arial"/>
                <w:sz w:val="22"/>
                <w:szCs w:val="22"/>
                <w:lang w:val="en-ZA" w:eastAsia="en-US"/>
              </w:rPr>
              <w:t>communicate limitations, uncertainties, confidence levels, and known risks associated with artificial intelligence systems to relevant personnel; and</w:t>
            </w:r>
          </w:p>
          <w:p w14:paraId="6A1C8EC2"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not implement or continue to use an artificial intelligence system that operates as an unexplainable system where patient safety may be compromised.</w:t>
            </w:r>
          </w:p>
        </w:tc>
        <w:tc>
          <w:tcPr>
            <w:tcW w:w="4536" w:type="dxa"/>
          </w:tcPr>
          <w:p w14:paraId="649D99D7" w14:textId="77777777" w:rsidR="000D04EF" w:rsidRPr="00D33A1E" w:rsidRDefault="000D04EF" w:rsidP="00250054">
            <w:pPr>
              <w:rPr>
                <w:rFonts w:eastAsia="Aptos" w:cs="Arial"/>
                <w:lang w:eastAsia="en-US"/>
              </w:rPr>
            </w:pPr>
          </w:p>
        </w:tc>
        <w:tc>
          <w:tcPr>
            <w:tcW w:w="4961" w:type="dxa"/>
          </w:tcPr>
          <w:p w14:paraId="0D23C67E" w14:textId="77777777" w:rsidR="000D04EF" w:rsidRPr="00D33A1E" w:rsidRDefault="000D04EF" w:rsidP="00250054">
            <w:pPr>
              <w:rPr>
                <w:rFonts w:eastAsia="Aptos" w:cs="Arial"/>
                <w:lang w:eastAsia="en-US"/>
              </w:rPr>
            </w:pPr>
          </w:p>
        </w:tc>
      </w:tr>
      <w:tr w:rsidR="000D04EF" w:rsidRPr="00D33A1E" w14:paraId="2EA0874E" w14:textId="77777777" w:rsidTr="00326018">
        <w:tc>
          <w:tcPr>
            <w:tcW w:w="5382" w:type="dxa"/>
          </w:tcPr>
          <w:p w14:paraId="1B6D6EDA"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lastRenderedPageBreak/>
              <w:t>Regulation Title: 53 Algorithmic bias, equity and fairness</w:t>
            </w:r>
          </w:p>
          <w:p w14:paraId="504273B1"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Title: </w:t>
            </w:r>
            <w:r w:rsidRPr="00D33A1E">
              <w:rPr>
                <w:rFonts w:eastAsia="Arial" w:cs="Arial"/>
                <w:sz w:val="22"/>
                <w:szCs w:val="22"/>
                <w:lang w:val="en-ZA" w:eastAsia="en-US"/>
              </w:rPr>
              <w:t>53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identify, monitor, and mitigate algorithmic bias and ensure that the use of digital health technologies and artificial intelligence systems results in equitable outcomes for all healthcare users.</w:t>
            </w:r>
          </w:p>
          <w:p w14:paraId="205D269E"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(2)  </w:t>
            </w:r>
            <w:r w:rsidRPr="00D33A1E">
              <w:rPr>
                <w:rFonts w:eastAsia="Arial" w:cs="Arial"/>
                <w:sz w:val="22"/>
                <w:szCs w:val="22"/>
                <w:lang w:val="en-ZA" w:eastAsia="en-US"/>
              </w:rPr>
              <w:t>For the purposes of sub-regulation (1), a health establishment must—</w:t>
            </w:r>
          </w:p>
          <w:p w14:paraId="309F42A8"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assess artificial intelligence systems for potential algorithmic bias prior to implementation, with specific consideration of the demographic and clinical diversity of the South African population, including racial, ethnic, linguistic, socioeconomic, and geographic dimensions;</w:t>
            </w:r>
          </w:p>
          <w:p w14:paraId="68CCF6E7"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monitor artificial intelligence systems in use for unfair, discriminatory, or inequitable outcomes;</w:t>
            </w:r>
          </w:p>
          <w:p w14:paraId="1A28EDE3"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implement corrective actions where bias or inequitable outcomes are identified, and document the actions taken;</w:t>
            </w:r>
          </w:p>
          <w:p w14:paraId="2F3ADB82"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ensure that artificial intelligence systems support equitable access to healthcare services and information; and</w:t>
            </w:r>
          </w:p>
          <w:p w14:paraId="0003CCFE"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 xml:space="preserve">ensure that the design, implementation, and evaluation of artificial intelligence systems consider the diversity of the South African </w:t>
            </w:r>
            <w:r w:rsidRPr="00D33A1E">
              <w:rPr>
                <w:rFonts w:eastAsia="Arial" w:cs="Arial"/>
                <w:sz w:val="22"/>
                <w:szCs w:val="22"/>
                <w:lang w:val="en-ZA" w:eastAsia="en-US"/>
              </w:rPr>
              <w:lastRenderedPageBreak/>
              <w:t>population and the disparities within the South African healthcare context.</w:t>
            </w:r>
          </w:p>
        </w:tc>
        <w:tc>
          <w:tcPr>
            <w:tcW w:w="4536" w:type="dxa"/>
          </w:tcPr>
          <w:p w14:paraId="2CDBD9AE" w14:textId="77777777" w:rsidR="000D04EF" w:rsidRPr="00D33A1E" w:rsidRDefault="000D04EF" w:rsidP="00250054">
            <w:pPr>
              <w:rPr>
                <w:rFonts w:eastAsia="Aptos" w:cs="Arial"/>
                <w:lang w:eastAsia="en-US"/>
              </w:rPr>
            </w:pPr>
          </w:p>
        </w:tc>
        <w:tc>
          <w:tcPr>
            <w:tcW w:w="4961" w:type="dxa"/>
          </w:tcPr>
          <w:p w14:paraId="093AC4E7" w14:textId="77777777" w:rsidR="000D04EF" w:rsidRPr="00D33A1E" w:rsidRDefault="000D04EF" w:rsidP="00250054">
            <w:pPr>
              <w:rPr>
                <w:rFonts w:eastAsia="Aptos" w:cs="Arial"/>
                <w:lang w:eastAsia="en-US"/>
              </w:rPr>
            </w:pPr>
          </w:p>
        </w:tc>
      </w:tr>
      <w:tr w:rsidR="000D04EF" w:rsidRPr="00D33A1E" w14:paraId="513BC16D" w14:textId="77777777" w:rsidTr="00326018">
        <w:tc>
          <w:tcPr>
            <w:tcW w:w="5382" w:type="dxa"/>
          </w:tcPr>
          <w:p w14:paraId="5F739210"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54 Cybersecurity and digital resilience</w:t>
            </w:r>
          </w:p>
          <w:p w14:paraId="6FB76662"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Title:  </w:t>
            </w:r>
            <w:r w:rsidRPr="00D33A1E">
              <w:rPr>
                <w:rFonts w:eastAsia="Arial" w:cs="Arial"/>
                <w:sz w:val="22"/>
                <w:szCs w:val="22"/>
                <w:lang w:val="en-ZA" w:eastAsia="en-US"/>
              </w:rPr>
              <w:t>54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protect digital health technologies, artificial intelligence systems, and health information from cybersecurity threats and ensure the continuity of healthcare services.</w:t>
            </w:r>
          </w:p>
          <w:p w14:paraId="69DFBBC7"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 (2)  </w:t>
            </w:r>
            <w:r w:rsidRPr="00D33A1E">
              <w:rPr>
                <w:rFonts w:eastAsia="Arial" w:cs="Arial"/>
                <w:sz w:val="22"/>
                <w:szCs w:val="22"/>
                <w:lang w:val="en-ZA" w:eastAsia="en-US"/>
              </w:rPr>
              <w:t>For the purposes of sub-regulation (1), a health establishment must—</w:t>
            </w:r>
          </w:p>
          <w:p w14:paraId="4733BD00"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establish and maintain a cybersecurity management programme appropriate to the scale and risk profile of the health establishment;</w:t>
            </w:r>
          </w:p>
          <w:p w14:paraId="26E67E92"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implement appropriate technical, physical, and administrative safeguards to protect digital systems and health information;</w:t>
            </w:r>
          </w:p>
          <w:p w14:paraId="73926B25"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identify, assess, monitor, and mitigate cybersecurity risks on an ongoing basis;</w:t>
            </w:r>
          </w:p>
          <w:p w14:paraId="53256EEA"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establish processes for the timely detection, reporting, investigation, management, and post-incident review of cybersecurity incidents;</w:t>
            </w:r>
          </w:p>
          <w:p w14:paraId="5E1CE63D"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(e) establish, maintain, and test business continuity and disaster recovery arrangements to ensure the continued delivery of essential healthcare services in the event of a digital system failure; and</w:t>
            </w:r>
          </w:p>
          <w:p w14:paraId="15B9AD32"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lastRenderedPageBreak/>
              <w:t>(f) ensure that relevant personnel receive regular training on cybersecurity risks, responsibilities, and incident reporting obligations.</w:t>
            </w:r>
          </w:p>
        </w:tc>
        <w:tc>
          <w:tcPr>
            <w:tcW w:w="4536" w:type="dxa"/>
          </w:tcPr>
          <w:p w14:paraId="0F361462" w14:textId="77777777" w:rsidR="000D04EF" w:rsidRPr="00D33A1E" w:rsidRDefault="000D04EF" w:rsidP="00250054">
            <w:pPr>
              <w:rPr>
                <w:rFonts w:eastAsia="Aptos" w:cs="Arial"/>
                <w:lang w:eastAsia="en-US"/>
              </w:rPr>
            </w:pPr>
          </w:p>
        </w:tc>
        <w:tc>
          <w:tcPr>
            <w:tcW w:w="4961" w:type="dxa"/>
          </w:tcPr>
          <w:p w14:paraId="28B8B670" w14:textId="77777777" w:rsidR="000D04EF" w:rsidRPr="00D33A1E" w:rsidRDefault="000D04EF" w:rsidP="00250054">
            <w:pPr>
              <w:rPr>
                <w:rFonts w:eastAsia="Aptos" w:cs="Arial"/>
                <w:lang w:eastAsia="en-US"/>
              </w:rPr>
            </w:pPr>
          </w:p>
        </w:tc>
      </w:tr>
      <w:tr w:rsidR="000D04EF" w:rsidRPr="00D33A1E" w14:paraId="24C8559F" w14:textId="77777777" w:rsidTr="00326018">
        <w:tc>
          <w:tcPr>
            <w:tcW w:w="5382" w:type="dxa"/>
          </w:tcPr>
          <w:p w14:paraId="7C784B29"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55 Procurement, vendors and artificial intelligence lifecycle management</w:t>
            </w:r>
          </w:p>
          <w:p w14:paraId="2DE8588F"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55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ensure that digital health technologies and artificial intelligence systems are responsibly procured, implemented, maintained, monitored, and retired throughout their lifecycle.</w:t>
            </w:r>
          </w:p>
          <w:p w14:paraId="459A38BF"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(2)  </w:t>
            </w:r>
            <w:r w:rsidRPr="00D33A1E">
              <w:rPr>
                <w:rFonts w:eastAsia="Arial" w:cs="Arial"/>
                <w:sz w:val="22"/>
                <w:szCs w:val="22"/>
                <w:lang w:val="en-ZA" w:eastAsia="en-US"/>
              </w:rPr>
              <w:t>For the purposes of sub-regulation (1), a health establishment must—</w:t>
            </w:r>
          </w:p>
          <w:p w14:paraId="487FC636"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assess prospective digital health technologies and artificial intelligence systems for safety, quality, interoperability, security, ethical compliance, and regulatory compliance, including compliance with SAHPRA requirements where applicable, prior to procurement;</w:t>
            </w:r>
          </w:p>
          <w:p w14:paraId="68E3E2C0"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require vendors to provide sufficient documentation regarding the functionality, limitations, risks, validation evidence, maintenance requirements, and support arrangements of digital health technologies and artificial intelligence systems;</w:t>
            </w:r>
          </w:p>
          <w:p w14:paraId="097ED77D"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 xml:space="preserve">ensure that contracts with vendors clearly define responsibilities relating to data protection, cybersecurity, maintenance, updates, </w:t>
            </w:r>
            <w:r w:rsidRPr="00D33A1E">
              <w:rPr>
                <w:rFonts w:eastAsia="Arial" w:cs="Arial"/>
                <w:sz w:val="22"/>
                <w:szCs w:val="22"/>
                <w:lang w:val="en-ZA" w:eastAsia="en-US"/>
              </w:rPr>
              <w:lastRenderedPageBreak/>
              <w:t>performance monitoring, and system performance;</w:t>
            </w:r>
          </w:p>
          <w:p w14:paraId="621D93ED"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monitor artificial intelligence systems throughout their operational lifecycle for continued safety, performance, and fitness for purpose;</w:t>
            </w:r>
          </w:p>
          <w:p w14:paraId="23C0C9CF"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significant modifications, updates, or retraining of artificial intelligence systems are subject to appropriate review and validation before deployment; and</w:t>
            </w:r>
          </w:p>
          <w:p w14:paraId="360AD474"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(f)</w:t>
            </w:r>
            <w:r w:rsidRPr="00D33A1E">
              <w:rPr>
                <w:rFonts w:eastAsia="Aptos" w:cs="Times New Roman"/>
                <w:sz w:val="22"/>
                <w:szCs w:val="22"/>
                <w:lang w:val="en-ZA" w:eastAsia="en-US"/>
              </w:rPr>
              <w:t xml:space="preserve"> </w:t>
            </w:r>
            <w:r w:rsidRPr="00D33A1E">
              <w:rPr>
                <w:rFonts w:eastAsia="Arial" w:cs="Arial"/>
                <w:sz w:val="22"/>
                <w:szCs w:val="22"/>
                <w:lang w:val="en-ZA" w:eastAsia="en-US"/>
              </w:rPr>
              <w:t>decommission obsolete, unsafe, or ineffective systems in a controlled manner that ensures continuity of care and the secure handling of associated health information.</w:t>
            </w:r>
          </w:p>
        </w:tc>
        <w:tc>
          <w:tcPr>
            <w:tcW w:w="4536" w:type="dxa"/>
          </w:tcPr>
          <w:p w14:paraId="58854034" w14:textId="77777777" w:rsidR="000D04EF" w:rsidRPr="00D33A1E" w:rsidRDefault="000D04EF" w:rsidP="00250054">
            <w:pPr>
              <w:rPr>
                <w:rFonts w:eastAsia="Aptos" w:cs="Arial"/>
                <w:lang w:eastAsia="en-US"/>
              </w:rPr>
            </w:pPr>
          </w:p>
        </w:tc>
        <w:tc>
          <w:tcPr>
            <w:tcW w:w="4961" w:type="dxa"/>
          </w:tcPr>
          <w:p w14:paraId="0AFCF179" w14:textId="77777777" w:rsidR="000D04EF" w:rsidRPr="00D33A1E" w:rsidRDefault="000D04EF" w:rsidP="00250054">
            <w:pPr>
              <w:rPr>
                <w:rFonts w:eastAsia="Aptos" w:cs="Arial"/>
                <w:lang w:eastAsia="en-US"/>
              </w:rPr>
            </w:pPr>
          </w:p>
        </w:tc>
      </w:tr>
      <w:tr w:rsidR="000D04EF" w:rsidRPr="00D33A1E" w14:paraId="6F9E9773" w14:textId="77777777" w:rsidTr="00326018">
        <w:tc>
          <w:tcPr>
            <w:tcW w:w="5382" w:type="dxa"/>
          </w:tcPr>
          <w:p w14:paraId="3489841D"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56 Risk classification of artificial intelligence systems</w:t>
            </w:r>
          </w:p>
          <w:p w14:paraId="1A9E0DBA"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56(1)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establish and apply a documented risk classification framework to identify the risk level of each artificial intelligence system in use, prior to implementation and at each significant review.</w:t>
            </w:r>
          </w:p>
          <w:p w14:paraId="3C814D18"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(2)  </w:t>
            </w:r>
            <w:r w:rsidRPr="00D33A1E">
              <w:rPr>
                <w:rFonts w:eastAsia="Arial" w:cs="Arial"/>
                <w:sz w:val="22"/>
                <w:szCs w:val="22"/>
                <w:lang w:val="en-ZA" w:eastAsia="en-US"/>
              </w:rPr>
              <w:t>For the purposes of sub-regulation (1), a health establishment must classify each artificial intelligence system into one of the following risk tiers, based on the criteria set out in sub-regulation (3)—</w:t>
            </w:r>
          </w:p>
          <w:p w14:paraId="47777838"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w:t>
            </w:r>
            <w:r w:rsidRPr="00D33A1E">
              <w:rPr>
                <w:rFonts w:eastAsia="Aptos" w:cs="Times New Roman"/>
                <w:sz w:val="22"/>
                <w:szCs w:val="22"/>
                <w:lang w:val="en-ZA" w:eastAsia="en-US"/>
              </w:rPr>
              <w:t xml:space="preserve"> </w:t>
            </w:r>
            <w:r w:rsidRPr="00D33A1E">
              <w:rPr>
                <w:rFonts w:eastAsia="Arial" w:cs="Arial"/>
                <w:sz w:val="22"/>
                <w:szCs w:val="22"/>
                <w:lang w:val="en-ZA" w:eastAsia="en-US"/>
              </w:rPr>
              <w:t xml:space="preserve">Tier 1 - Low Risk: artificial intelligence systems used for administrative, scheduling, or operational </w:t>
            </w:r>
            <w:r w:rsidRPr="00D33A1E">
              <w:rPr>
                <w:rFonts w:eastAsia="Arial" w:cs="Arial"/>
                <w:sz w:val="22"/>
                <w:szCs w:val="22"/>
                <w:lang w:val="en-ZA" w:eastAsia="en-US"/>
              </w:rPr>
              <w:lastRenderedPageBreak/>
              <w:t>purposes that do not directly influence clinical decisions or patient safety;</w:t>
            </w:r>
          </w:p>
          <w:p w14:paraId="4D4BE8C4"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Tier 2 - Moderate Risk: artificial intelligence systems that support clinical workflows or inform clinical decision-making, where outputs are reviewed and interpreted by a healthcare professional before any clinical action is taken; and</w:t>
            </w:r>
          </w:p>
          <w:p w14:paraId="742D7AAC"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Tier 3 - High Risk: artificial intelligence systems as defined in regulation 57(1) of these regulations.</w:t>
            </w:r>
          </w:p>
        </w:tc>
        <w:tc>
          <w:tcPr>
            <w:tcW w:w="4536" w:type="dxa"/>
          </w:tcPr>
          <w:p w14:paraId="0FC7FFAA" w14:textId="77777777" w:rsidR="000D04EF" w:rsidRPr="00D33A1E" w:rsidRDefault="000D04EF" w:rsidP="00250054">
            <w:pPr>
              <w:rPr>
                <w:rFonts w:eastAsia="Aptos" w:cs="Arial"/>
                <w:lang w:eastAsia="en-US"/>
              </w:rPr>
            </w:pPr>
          </w:p>
        </w:tc>
        <w:tc>
          <w:tcPr>
            <w:tcW w:w="4961" w:type="dxa"/>
          </w:tcPr>
          <w:p w14:paraId="06A7D4E2" w14:textId="77777777" w:rsidR="000D04EF" w:rsidRPr="00D33A1E" w:rsidRDefault="000D04EF" w:rsidP="00250054">
            <w:pPr>
              <w:rPr>
                <w:rFonts w:eastAsia="Aptos" w:cs="Arial"/>
                <w:lang w:eastAsia="en-US"/>
              </w:rPr>
            </w:pPr>
          </w:p>
        </w:tc>
      </w:tr>
      <w:tr w:rsidR="000D04EF" w:rsidRPr="00D33A1E" w14:paraId="073E21F9" w14:textId="77777777" w:rsidTr="00326018">
        <w:tc>
          <w:tcPr>
            <w:tcW w:w="5382" w:type="dxa"/>
          </w:tcPr>
          <w:p w14:paraId="3224FD35"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(3)  </w:t>
            </w:r>
            <w:r w:rsidRPr="00D33A1E">
              <w:rPr>
                <w:rFonts w:eastAsia="Arial" w:cs="Arial"/>
                <w:sz w:val="22"/>
                <w:szCs w:val="22"/>
                <w:lang w:val="en-ZA" w:eastAsia="en-US"/>
              </w:rPr>
              <w:t>In classifying an artificial intelligence system under sub-regulation (2), a health establishment must consider—</w:t>
            </w:r>
          </w:p>
          <w:p w14:paraId="5012996B"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w:t>
            </w:r>
            <w:r w:rsidRPr="00D33A1E">
              <w:rPr>
                <w:rFonts w:eastAsia="Aptos" w:cs="Times New Roman"/>
                <w:sz w:val="22"/>
                <w:szCs w:val="22"/>
                <w:lang w:val="en-ZA" w:eastAsia="en-US"/>
              </w:rPr>
              <w:t xml:space="preserve"> </w:t>
            </w:r>
            <w:r w:rsidRPr="00D33A1E">
              <w:rPr>
                <w:rFonts w:eastAsia="Arial" w:cs="Arial"/>
                <w:sz w:val="22"/>
                <w:szCs w:val="22"/>
                <w:lang w:val="en-ZA" w:eastAsia="en-US"/>
              </w:rPr>
              <w:t>the potential severity of harm to a patient or healthcare user if the system produces an erroneous output;</w:t>
            </w:r>
          </w:p>
          <w:p w14:paraId="74947C6D"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the degree of human oversight applied before clinical action is taken on the basis of the system's output;</w:t>
            </w:r>
          </w:p>
          <w:p w14:paraId="7F766AA3"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the vulnerability of the patient population affected by the system;</w:t>
            </w:r>
          </w:p>
          <w:p w14:paraId="7CE5F7F5"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the reversibility of any clinical action taken on the basis of the system's output; and</w:t>
            </w:r>
          </w:p>
          <w:p w14:paraId="7B528E5D" w14:textId="6D28923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the extent to which the system has been validated in a South African clinical context.</w:t>
            </w:r>
          </w:p>
        </w:tc>
        <w:tc>
          <w:tcPr>
            <w:tcW w:w="4536" w:type="dxa"/>
          </w:tcPr>
          <w:p w14:paraId="292C8192" w14:textId="77777777" w:rsidR="000D04EF" w:rsidRPr="00D33A1E" w:rsidRDefault="000D04EF" w:rsidP="00250054">
            <w:pPr>
              <w:rPr>
                <w:rFonts w:eastAsia="Aptos" w:cs="Arial"/>
                <w:lang w:eastAsia="en-US"/>
              </w:rPr>
            </w:pPr>
          </w:p>
        </w:tc>
        <w:tc>
          <w:tcPr>
            <w:tcW w:w="4961" w:type="dxa"/>
          </w:tcPr>
          <w:p w14:paraId="2B737437" w14:textId="77777777" w:rsidR="000D04EF" w:rsidRPr="00D33A1E" w:rsidRDefault="000D04EF" w:rsidP="00250054">
            <w:pPr>
              <w:rPr>
                <w:rFonts w:eastAsia="Aptos" w:cs="Arial"/>
                <w:lang w:eastAsia="en-US"/>
              </w:rPr>
            </w:pPr>
          </w:p>
        </w:tc>
      </w:tr>
      <w:tr w:rsidR="000D04EF" w:rsidRPr="00D33A1E" w14:paraId="0960D92A" w14:textId="77777777" w:rsidTr="00326018">
        <w:tc>
          <w:tcPr>
            <w:tcW w:w="5382" w:type="dxa"/>
          </w:tcPr>
          <w:p w14:paraId="75AA0593"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(4)  </w:t>
            </w:r>
            <w:r w:rsidRPr="00D33A1E">
              <w:rPr>
                <w:rFonts w:eastAsia="Arial" w:cs="Arial"/>
                <w:sz w:val="22"/>
                <w:szCs w:val="22"/>
                <w:lang w:val="en-ZA" w:eastAsia="en-US"/>
              </w:rPr>
              <w:t>The health establishment must—</w:t>
            </w:r>
          </w:p>
          <w:p w14:paraId="16A4DA7B"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lastRenderedPageBreak/>
              <w:t>(a) document the risk tier assigned to each artificial intelligence system and the rationale for that classification;</w:t>
            </w:r>
          </w:p>
          <w:p w14:paraId="4D5E60BF"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review the risk classification of each system at intervals not exceeding two years, and whenever the system is significantly modified or its clinical application changes; and</w:t>
            </w:r>
          </w:p>
          <w:p w14:paraId="38B264D7"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apply governance, oversight, and monitoring requirements proportionate to the assigned risk tier.</w:t>
            </w:r>
          </w:p>
        </w:tc>
        <w:tc>
          <w:tcPr>
            <w:tcW w:w="4536" w:type="dxa"/>
          </w:tcPr>
          <w:p w14:paraId="2ED363B3" w14:textId="77777777" w:rsidR="000D04EF" w:rsidRPr="00D33A1E" w:rsidRDefault="000D04EF" w:rsidP="00250054">
            <w:pPr>
              <w:rPr>
                <w:rFonts w:eastAsia="Aptos" w:cs="Arial"/>
                <w:lang w:eastAsia="en-US"/>
              </w:rPr>
            </w:pPr>
          </w:p>
        </w:tc>
        <w:tc>
          <w:tcPr>
            <w:tcW w:w="4961" w:type="dxa"/>
          </w:tcPr>
          <w:p w14:paraId="7EA48A76" w14:textId="77777777" w:rsidR="000D04EF" w:rsidRPr="00D33A1E" w:rsidRDefault="000D04EF" w:rsidP="00250054">
            <w:pPr>
              <w:rPr>
                <w:rFonts w:eastAsia="Aptos" w:cs="Arial"/>
                <w:lang w:eastAsia="en-US"/>
              </w:rPr>
            </w:pPr>
          </w:p>
        </w:tc>
      </w:tr>
      <w:tr w:rsidR="000D04EF" w:rsidRPr="00D33A1E" w14:paraId="42E7237A" w14:textId="77777777" w:rsidTr="00326018">
        <w:tc>
          <w:tcPr>
            <w:tcW w:w="5382" w:type="dxa"/>
          </w:tcPr>
          <w:p w14:paraId="6377E351"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57 High-risk artificial intelligence systems</w:t>
            </w:r>
          </w:p>
          <w:p w14:paraId="09588A13"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57 (1)</w:t>
            </w:r>
            <w:r w:rsidRPr="00D33A1E">
              <w:rPr>
                <w:rFonts w:eastAsia="Arial" w:cs="Arial"/>
                <w:b/>
                <w:bCs/>
                <w:sz w:val="22"/>
                <w:szCs w:val="22"/>
                <w:lang w:val="en-ZA" w:eastAsia="en-US"/>
              </w:rPr>
              <w:t xml:space="preserve">  </w:t>
            </w:r>
            <w:r w:rsidRPr="00D33A1E">
              <w:rPr>
                <w:rFonts w:eastAsia="Arial" w:cs="Arial"/>
                <w:sz w:val="22"/>
                <w:szCs w:val="22"/>
                <w:lang w:val="en-ZA" w:eastAsia="en-US"/>
              </w:rPr>
              <w:t>For the purposes of this Chapter, a high-risk artificial intelligence system is one that-</w:t>
            </w:r>
          </w:p>
          <w:p w14:paraId="24B5A0BE"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directly informs or generates clinical diagnoses, prescribing decisions, treatment plans, or discharge decisions with limited or no intermediate human review;</w:t>
            </w:r>
          </w:p>
          <w:p w14:paraId="66E46872"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is used in a clinical context involving vulnerable populations, including neonatal, paediatric, obstetric, psychiatric, or end-of-life care;</w:t>
            </w:r>
          </w:p>
          <w:p w14:paraId="6387CBEE"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constitutes a software as a medical device classified by SAHPRA as Class III or equivalent; or</w:t>
            </w:r>
          </w:p>
          <w:p w14:paraId="6BA76697"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(d) is classified as Tier 3 in accordance with regulation [56] of this Chapter.</w:t>
            </w:r>
          </w:p>
        </w:tc>
        <w:tc>
          <w:tcPr>
            <w:tcW w:w="4536" w:type="dxa"/>
          </w:tcPr>
          <w:p w14:paraId="101795BC" w14:textId="77777777" w:rsidR="000D04EF" w:rsidRPr="00D33A1E" w:rsidRDefault="000D04EF" w:rsidP="00250054">
            <w:pPr>
              <w:rPr>
                <w:rFonts w:eastAsia="Aptos" w:cs="Arial"/>
                <w:lang w:eastAsia="en-US"/>
              </w:rPr>
            </w:pPr>
          </w:p>
        </w:tc>
        <w:tc>
          <w:tcPr>
            <w:tcW w:w="4961" w:type="dxa"/>
          </w:tcPr>
          <w:p w14:paraId="73D80FE8" w14:textId="77777777" w:rsidR="000D04EF" w:rsidRPr="00D33A1E" w:rsidRDefault="000D04EF" w:rsidP="00250054">
            <w:pPr>
              <w:rPr>
                <w:rFonts w:eastAsia="Aptos" w:cs="Arial"/>
                <w:lang w:eastAsia="en-US"/>
              </w:rPr>
            </w:pPr>
          </w:p>
        </w:tc>
      </w:tr>
      <w:tr w:rsidR="000D04EF" w:rsidRPr="00D33A1E" w14:paraId="570BC94A" w14:textId="77777777" w:rsidTr="00326018">
        <w:tc>
          <w:tcPr>
            <w:tcW w:w="5382" w:type="dxa"/>
          </w:tcPr>
          <w:p w14:paraId="3848E440"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lastRenderedPageBreak/>
              <w:t xml:space="preserve">Sub-regulation Statement: (2)  </w:t>
            </w:r>
            <w:r w:rsidRPr="00D33A1E">
              <w:rPr>
                <w:rFonts w:eastAsia="Arial" w:cs="Arial"/>
                <w:sz w:val="22"/>
                <w:szCs w:val="22"/>
                <w:lang w:val="en-ZA" w:eastAsia="en-US"/>
              </w:rPr>
              <w:t>A health establishment must apply enhanced governance, oversight, and monitoring to high-risk artificial intelligence systems, and for this purpose must-</w:t>
            </w:r>
          </w:p>
          <w:p w14:paraId="5F69386D"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high-risk artificial intelligence systems undergo enhanced risk assessment and validation before implementation, including prospective evaluation in the applicable clinical context;</w:t>
            </w:r>
          </w:p>
          <w:p w14:paraId="62A68AE2"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subject high-risk artificial intelligence systems to increased frequency of performance monitoring and review;</w:t>
            </w:r>
          </w:p>
          <w:p w14:paraId="2A2ADF69"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apply enhanced human oversight to all clinical decisions informed by high-risk artificial intelligence systems;</w:t>
            </w:r>
          </w:p>
          <w:p w14:paraId="49C99AC8"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investigate and report adverse events and near misses associated with high-risk artificial intelligence systems in accordance with regulation 61 of these regulations; and</w:t>
            </w:r>
          </w:p>
          <w:p w14:paraId="5643CA1D"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periodically reassess the continued use of high-risk artificial intelligence systems to ensure ongoing safety and effectiveness, at intervals not exceeding one year.</w:t>
            </w:r>
          </w:p>
        </w:tc>
        <w:tc>
          <w:tcPr>
            <w:tcW w:w="4536" w:type="dxa"/>
          </w:tcPr>
          <w:p w14:paraId="01ADA41D" w14:textId="77777777" w:rsidR="000D04EF" w:rsidRPr="00D33A1E" w:rsidRDefault="000D04EF" w:rsidP="00250054">
            <w:pPr>
              <w:rPr>
                <w:rFonts w:eastAsia="Aptos" w:cs="Arial"/>
                <w:lang w:eastAsia="en-US"/>
              </w:rPr>
            </w:pPr>
          </w:p>
        </w:tc>
        <w:tc>
          <w:tcPr>
            <w:tcW w:w="4961" w:type="dxa"/>
          </w:tcPr>
          <w:p w14:paraId="7D7D9D63" w14:textId="77777777" w:rsidR="000D04EF" w:rsidRPr="00D33A1E" w:rsidRDefault="000D04EF" w:rsidP="00250054">
            <w:pPr>
              <w:rPr>
                <w:rFonts w:eastAsia="Aptos" w:cs="Arial"/>
                <w:lang w:eastAsia="en-US"/>
              </w:rPr>
            </w:pPr>
          </w:p>
        </w:tc>
      </w:tr>
      <w:tr w:rsidR="000D04EF" w:rsidRPr="00D33A1E" w14:paraId="747A63EE" w14:textId="77777777" w:rsidTr="00326018">
        <w:tc>
          <w:tcPr>
            <w:tcW w:w="5382" w:type="dxa"/>
          </w:tcPr>
          <w:p w14:paraId="7A36030E" w14:textId="77777777" w:rsidR="000D04EF" w:rsidRPr="00D33A1E" w:rsidRDefault="000D04EF" w:rsidP="00250054">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58 Generative artificial intelligence</w:t>
            </w:r>
          </w:p>
          <w:p w14:paraId="052034DD"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58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establish controls governing the use of generative artificial intelligence systems to ensure safe, ethical, accurate, and accountable use.</w:t>
            </w:r>
          </w:p>
          <w:p w14:paraId="3F98B0AB" w14:textId="77777777" w:rsidR="000D04EF" w:rsidRPr="00D33A1E" w:rsidRDefault="000D04EF" w:rsidP="00250054">
            <w:pPr>
              <w:spacing w:line="276" w:lineRule="auto"/>
              <w:rPr>
                <w:rFonts w:eastAsia="Arial" w:cs="Arial"/>
                <w:sz w:val="22"/>
                <w:szCs w:val="22"/>
                <w:lang w:val="en-ZA" w:eastAsia="en-US"/>
              </w:rPr>
            </w:pPr>
            <w:r w:rsidRPr="00D33A1E">
              <w:rPr>
                <w:rFonts w:eastAsia="Arial" w:cs="Arial"/>
                <w:b/>
                <w:bCs/>
                <w:sz w:val="22"/>
                <w:szCs w:val="22"/>
                <w:lang w:val="en-ZA" w:eastAsia="en-US"/>
              </w:rPr>
              <w:lastRenderedPageBreak/>
              <w:t xml:space="preserve">Sub-regulation : (2) </w:t>
            </w:r>
            <w:r w:rsidRPr="00D33A1E">
              <w:rPr>
                <w:rFonts w:eastAsia="Arial" w:cs="Arial"/>
                <w:sz w:val="22"/>
                <w:szCs w:val="22"/>
                <w:lang w:val="en-ZA" w:eastAsia="en-US"/>
              </w:rPr>
              <w:t>For the purposes of sub-regulation (1), a health establishment must—</w:t>
            </w:r>
          </w:p>
          <w:p w14:paraId="5FBE544E"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ensure that the use of generative artificial intelligence systems is governed by documented policies and procedures;</w:t>
            </w:r>
          </w:p>
          <w:p w14:paraId="23B5196B"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ensure that outputs generated by generative artificial intelligence systems are reviewed and verified by an appropriately authorised person before use in any context that may affect patient care or safety;</w:t>
            </w:r>
          </w:p>
          <w:p w14:paraId="759CD29E"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implement measures to reduce the risk of inaccurate, misleading, fabricated, or inappropriate outputs, including through training, prompting guidelines, and output verification protocols;</w:t>
            </w:r>
          </w:p>
          <w:p w14:paraId="1C48F2CF"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inform healthcare users where generative artificial intelligence systems are used in patient-facing interactions, where such disclosure is appropriate and practicable;</w:t>
            </w:r>
          </w:p>
          <w:p w14:paraId="3597A8F8" w14:textId="77777777" w:rsidR="000D04EF" w:rsidRPr="00D33A1E" w:rsidRDefault="000D04EF" w:rsidP="00250054">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confidential or personal health information is not processed through generative artificial intelligence systems unless appropriate safeguards, including contractual data protection arrangements, are in place; and</w:t>
            </w:r>
          </w:p>
          <w:p w14:paraId="163A0DA9" w14:textId="77777777" w:rsidR="000D04EF" w:rsidRPr="00D33A1E" w:rsidRDefault="000D04EF" w:rsidP="00250054">
            <w:pPr>
              <w:spacing w:line="276" w:lineRule="auto"/>
              <w:ind w:left="360" w:hanging="360"/>
              <w:rPr>
                <w:rFonts w:eastAsia="Aptos" w:cs="Arial"/>
                <w:b/>
                <w:bCs/>
                <w:lang w:eastAsia="en-US"/>
              </w:rPr>
            </w:pPr>
            <w:r w:rsidRPr="00D33A1E">
              <w:rPr>
                <w:rFonts w:eastAsia="Arial" w:cs="Arial"/>
                <w:sz w:val="22"/>
                <w:szCs w:val="22"/>
                <w:lang w:val="en-ZA" w:eastAsia="en-US"/>
              </w:rPr>
              <w:t>(f)</w:t>
            </w:r>
            <w:r w:rsidRPr="00D33A1E">
              <w:rPr>
                <w:rFonts w:eastAsia="Aptos" w:cs="Times New Roman"/>
                <w:sz w:val="22"/>
                <w:szCs w:val="22"/>
                <w:lang w:val="en-ZA" w:eastAsia="en-US"/>
              </w:rPr>
              <w:t xml:space="preserve"> </w:t>
            </w:r>
            <w:r w:rsidRPr="00D33A1E">
              <w:rPr>
                <w:rFonts w:eastAsia="Arial" w:cs="Arial"/>
                <w:sz w:val="22"/>
                <w:szCs w:val="22"/>
                <w:lang w:val="en-ZA" w:eastAsia="en-US"/>
              </w:rPr>
              <w:t>monitor the use of generative artificial intelligence systems for quality, safety, and compliance with applicable requirements.</w:t>
            </w:r>
          </w:p>
        </w:tc>
        <w:tc>
          <w:tcPr>
            <w:tcW w:w="4536" w:type="dxa"/>
          </w:tcPr>
          <w:p w14:paraId="4C2ABE85" w14:textId="77777777" w:rsidR="000D04EF" w:rsidRPr="00D33A1E" w:rsidRDefault="000D04EF" w:rsidP="00250054">
            <w:pPr>
              <w:rPr>
                <w:rFonts w:eastAsia="Aptos" w:cs="Arial"/>
                <w:lang w:eastAsia="en-US"/>
              </w:rPr>
            </w:pPr>
          </w:p>
        </w:tc>
        <w:tc>
          <w:tcPr>
            <w:tcW w:w="4961" w:type="dxa"/>
          </w:tcPr>
          <w:p w14:paraId="1EDBE204" w14:textId="77777777" w:rsidR="000D04EF" w:rsidRPr="00D33A1E" w:rsidRDefault="000D04EF" w:rsidP="00250054">
            <w:pPr>
              <w:rPr>
                <w:rFonts w:eastAsia="Aptos" w:cs="Arial"/>
                <w:lang w:eastAsia="en-US"/>
              </w:rPr>
            </w:pPr>
          </w:p>
        </w:tc>
      </w:tr>
      <w:tr w:rsidR="000D04EF" w:rsidRPr="00D33A1E" w14:paraId="758E0269" w14:textId="77777777" w:rsidTr="00326018">
        <w:tc>
          <w:tcPr>
            <w:tcW w:w="5382" w:type="dxa"/>
          </w:tcPr>
          <w:p w14:paraId="16588F4F" w14:textId="77777777" w:rsidR="000D04EF" w:rsidRPr="00D33A1E" w:rsidRDefault="000D04EF" w:rsidP="00237F88">
            <w:pPr>
              <w:spacing w:line="276" w:lineRule="auto"/>
              <w:rPr>
                <w:rFonts w:eastAsia="Arial" w:cs="Arial"/>
                <w:b/>
                <w:bCs/>
                <w:sz w:val="22"/>
                <w:szCs w:val="22"/>
                <w:lang w:val="en-ZA" w:eastAsia="en-US"/>
              </w:rPr>
            </w:pPr>
            <w:r w:rsidRPr="00D33A1E">
              <w:rPr>
                <w:rFonts w:eastAsia="Arial" w:cs="Arial"/>
                <w:b/>
                <w:bCs/>
                <w:sz w:val="22"/>
                <w:szCs w:val="22"/>
                <w:lang w:val="en-ZA" w:eastAsia="en-US"/>
              </w:rPr>
              <w:lastRenderedPageBreak/>
              <w:t>Regulation Title: 59 Workforce competence and digital literacy</w:t>
            </w:r>
          </w:p>
          <w:p w14:paraId="5E7E8843"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59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ensure that personnel possess the knowledge, skills, and competencies necessary for the safe and effective use of digital health technologies and artificial intelligence systems relevant to their responsibilities.</w:t>
            </w:r>
          </w:p>
          <w:p w14:paraId="373E65E1"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(2)  </w:t>
            </w:r>
            <w:r w:rsidRPr="00D33A1E">
              <w:rPr>
                <w:rFonts w:eastAsia="Arial" w:cs="Arial"/>
                <w:sz w:val="22"/>
                <w:szCs w:val="22"/>
                <w:lang w:val="en-ZA" w:eastAsia="en-US"/>
              </w:rPr>
              <w:t>For the purposes of sub-regulation (1), a health establishment must—</w:t>
            </w:r>
          </w:p>
          <w:p w14:paraId="6FD74605"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provide appropriate induction and ongoing training to personnel on the digital health technologies used in their area of work;</w:t>
            </w:r>
          </w:p>
          <w:p w14:paraId="30A6337D"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provide personnel with training on the capabilities, limitations, risks, and appropriate use of artificial intelligence systems;</w:t>
            </w:r>
          </w:p>
          <w:p w14:paraId="73121E0B"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assess, maintain, and periodically review the competence of personnel in the use of relevant digital health technologies and artificial intelligence systems;</w:t>
            </w:r>
          </w:p>
          <w:p w14:paraId="191791D2"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(d) support ongoing education and professional development relating to digital health and artificial intelligence in accordance with applicable continuing professional development requirements; and</w:t>
            </w:r>
          </w:p>
          <w:p w14:paraId="3841E8A7" w14:textId="77777777" w:rsidR="000D04EF" w:rsidRPr="00D33A1E" w:rsidRDefault="000D04EF" w:rsidP="00237F88">
            <w:pPr>
              <w:spacing w:line="276" w:lineRule="auto"/>
              <w:ind w:left="360" w:hanging="360"/>
              <w:rPr>
                <w:rFonts w:eastAsia="Aptos" w:cs="Arial"/>
                <w:b/>
                <w:bCs/>
                <w:lang w:eastAsia="en-US"/>
              </w:rPr>
            </w:pPr>
            <w:r w:rsidRPr="00D33A1E">
              <w:rPr>
                <w:rFonts w:eastAsia="Arial" w:cs="Arial"/>
                <w:sz w:val="22"/>
                <w:szCs w:val="22"/>
                <w:lang w:val="en-ZA" w:eastAsia="en-US"/>
              </w:rPr>
              <w:t>(e)</w:t>
            </w:r>
            <w:r w:rsidRPr="00D33A1E">
              <w:rPr>
                <w:rFonts w:eastAsia="Aptos" w:cs="Times New Roman"/>
                <w:sz w:val="22"/>
                <w:szCs w:val="22"/>
                <w:lang w:val="en-ZA" w:eastAsia="en-US"/>
              </w:rPr>
              <w:t xml:space="preserve"> </w:t>
            </w:r>
            <w:r w:rsidRPr="00D33A1E">
              <w:rPr>
                <w:rFonts w:eastAsia="Arial" w:cs="Arial"/>
                <w:sz w:val="22"/>
                <w:szCs w:val="22"/>
                <w:lang w:val="en-ZA" w:eastAsia="en-US"/>
              </w:rPr>
              <w:t xml:space="preserve">train personnel on information governance, cybersecurity, POPIA obligations, and ethical </w:t>
            </w:r>
            <w:r w:rsidRPr="00D33A1E">
              <w:rPr>
                <w:rFonts w:eastAsia="Arial" w:cs="Arial"/>
                <w:sz w:val="22"/>
                <w:szCs w:val="22"/>
                <w:lang w:val="en-ZA" w:eastAsia="en-US"/>
              </w:rPr>
              <w:lastRenderedPageBreak/>
              <w:t>responsibilities in relation to digital health technologies and artificial intelligence systems.</w:t>
            </w:r>
          </w:p>
        </w:tc>
        <w:tc>
          <w:tcPr>
            <w:tcW w:w="4536" w:type="dxa"/>
          </w:tcPr>
          <w:p w14:paraId="53870D75" w14:textId="77777777" w:rsidR="000D04EF" w:rsidRPr="00D33A1E" w:rsidRDefault="000D04EF" w:rsidP="00237F88">
            <w:pPr>
              <w:rPr>
                <w:rFonts w:eastAsia="Aptos" w:cs="Arial"/>
                <w:lang w:eastAsia="en-US"/>
              </w:rPr>
            </w:pPr>
          </w:p>
        </w:tc>
        <w:tc>
          <w:tcPr>
            <w:tcW w:w="4961" w:type="dxa"/>
          </w:tcPr>
          <w:p w14:paraId="7F1C2395" w14:textId="77777777" w:rsidR="000D04EF" w:rsidRPr="00D33A1E" w:rsidRDefault="000D04EF" w:rsidP="00237F88">
            <w:pPr>
              <w:rPr>
                <w:rFonts w:eastAsia="Aptos" w:cs="Arial"/>
                <w:lang w:eastAsia="en-US"/>
              </w:rPr>
            </w:pPr>
          </w:p>
        </w:tc>
      </w:tr>
      <w:tr w:rsidR="000D04EF" w:rsidRPr="00D33A1E" w14:paraId="222DD96C" w14:textId="77777777" w:rsidTr="00326018">
        <w:tc>
          <w:tcPr>
            <w:tcW w:w="5382" w:type="dxa"/>
          </w:tcPr>
          <w:p w14:paraId="63FF7CF0" w14:textId="77777777" w:rsidR="000D04EF" w:rsidRPr="00D33A1E" w:rsidRDefault="000D04EF" w:rsidP="00237F88">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60 Patient, family and community engagement</w:t>
            </w:r>
          </w:p>
          <w:p w14:paraId="5B68FAB2"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60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promote the meaningful engagement of healthcare users, families, and communities in the design, implementation, evaluation, and improvement of digital health technologies and artificial intelligence systems.</w:t>
            </w:r>
          </w:p>
          <w:p w14:paraId="65667400"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(2) </w:t>
            </w:r>
            <w:r w:rsidRPr="00D33A1E">
              <w:rPr>
                <w:rFonts w:eastAsia="Arial" w:cs="Arial"/>
                <w:sz w:val="22"/>
                <w:szCs w:val="22"/>
                <w:lang w:val="en-ZA" w:eastAsia="en-US"/>
              </w:rPr>
              <w:t>For the purposes of sub-regulation (1), a health establishment must—</w:t>
            </w:r>
          </w:p>
          <w:p w14:paraId="267D0F13"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provide healthcare users and families with opportunities to contribute feedback on digital health initiatives and artificial intelligence systems;</w:t>
            </w:r>
          </w:p>
          <w:p w14:paraId="26B81509"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collect and use feedback regarding digital health technologies and artificial intelligence systems to inform improvement activities;</w:t>
            </w:r>
          </w:p>
          <w:p w14:paraId="7F0BB888"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 ensure that digital health technologies are designed and implemented to support accessibility, inclusivity, and usability for diverse healthcare user populations, including persons with disabilities and persons with limited digital literacy; and</w:t>
            </w:r>
          </w:p>
          <w:p w14:paraId="7FB3376F" w14:textId="77777777" w:rsidR="000D04EF" w:rsidRPr="00D33A1E" w:rsidRDefault="000D04EF" w:rsidP="00237F88">
            <w:pPr>
              <w:spacing w:line="276" w:lineRule="auto"/>
              <w:ind w:left="360" w:hanging="360"/>
              <w:rPr>
                <w:rFonts w:eastAsia="Aptos" w:cs="Arial"/>
                <w:b/>
                <w:bCs/>
                <w:lang w:eastAsia="en-US"/>
              </w:rPr>
            </w:pPr>
            <w:r w:rsidRPr="00D33A1E">
              <w:rPr>
                <w:rFonts w:eastAsia="Arial" w:cs="Arial"/>
                <w:sz w:val="22"/>
                <w:szCs w:val="22"/>
                <w:lang w:val="en-ZA" w:eastAsia="en-US"/>
              </w:rPr>
              <w:t xml:space="preserve">(d) communicate information regarding digital health technologies and artificial intelligence systems to healthcare users in a manner and language that is </w:t>
            </w:r>
            <w:r w:rsidRPr="00D33A1E">
              <w:rPr>
                <w:rFonts w:eastAsia="Arial" w:cs="Arial"/>
                <w:sz w:val="22"/>
                <w:szCs w:val="22"/>
                <w:lang w:val="en-ZA" w:eastAsia="en-US"/>
              </w:rPr>
              <w:lastRenderedPageBreak/>
              <w:t>understandable and appropriate, consistent with the requirements of regulation 5 of these Regulations.</w:t>
            </w:r>
          </w:p>
        </w:tc>
        <w:tc>
          <w:tcPr>
            <w:tcW w:w="4536" w:type="dxa"/>
          </w:tcPr>
          <w:p w14:paraId="19628B3F" w14:textId="77777777" w:rsidR="000D04EF" w:rsidRPr="00D33A1E" w:rsidRDefault="000D04EF" w:rsidP="00237F88">
            <w:pPr>
              <w:rPr>
                <w:rFonts w:eastAsia="Aptos" w:cs="Arial"/>
                <w:lang w:eastAsia="en-US"/>
              </w:rPr>
            </w:pPr>
          </w:p>
        </w:tc>
        <w:tc>
          <w:tcPr>
            <w:tcW w:w="4961" w:type="dxa"/>
          </w:tcPr>
          <w:p w14:paraId="7484B558" w14:textId="77777777" w:rsidR="000D04EF" w:rsidRPr="00D33A1E" w:rsidRDefault="000D04EF" w:rsidP="00237F88">
            <w:pPr>
              <w:rPr>
                <w:rFonts w:eastAsia="Aptos" w:cs="Arial"/>
                <w:lang w:eastAsia="en-US"/>
              </w:rPr>
            </w:pPr>
          </w:p>
        </w:tc>
      </w:tr>
      <w:tr w:rsidR="000D04EF" w:rsidRPr="00D33A1E" w14:paraId="60AA5BE3" w14:textId="77777777" w:rsidTr="00326018">
        <w:tc>
          <w:tcPr>
            <w:tcW w:w="5382" w:type="dxa"/>
          </w:tcPr>
          <w:p w14:paraId="53FABFCD" w14:textId="77777777" w:rsidR="000D04EF" w:rsidRPr="00D33A1E" w:rsidRDefault="000D04EF" w:rsidP="00237F88">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61 Quality improvement, monitoring and reporting</w:t>
            </w:r>
          </w:p>
          <w:p w14:paraId="559D04D2"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61 (1) A health establishment must monitor, evaluate, and continuously improve the use of digital health technologies and artificial intelligence systems.</w:t>
            </w:r>
          </w:p>
          <w:p w14:paraId="03CED4F8"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(2) </w:t>
            </w:r>
            <w:r w:rsidRPr="00D33A1E">
              <w:rPr>
                <w:rFonts w:eastAsia="Arial" w:cs="Arial"/>
                <w:sz w:val="22"/>
                <w:szCs w:val="22"/>
                <w:lang w:val="en-ZA" w:eastAsia="en-US"/>
              </w:rPr>
              <w:t>For the purposes of sub-regulation (1), a health establishment must—</w:t>
            </w:r>
          </w:p>
          <w:p w14:paraId="30CCD80E"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establish and monitor performance indicators for digital health technologies and artificial intelligence systems;</w:t>
            </w:r>
          </w:p>
          <w:p w14:paraId="3D896023"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report, investigate, and manage adverse events, incidents, near misses, and system failures associated with digital health technologies and artificial intelligence systems through the health establishment's patient safety incident management system;</w:t>
            </w:r>
          </w:p>
          <w:p w14:paraId="5A39EA64"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w:t>
            </w:r>
            <w:r w:rsidRPr="00D33A1E">
              <w:rPr>
                <w:rFonts w:eastAsia="Aptos" w:cs="Times New Roman"/>
                <w:sz w:val="22"/>
                <w:szCs w:val="22"/>
                <w:lang w:val="en-ZA" w:eastAsia="en-US"/>
              </w:rPr>
              <w:t xml:space="preserve"> </w:t>
            </w:r>
            <w:r w:rsidRPr="00D33A1E">
              <w:rPr>
                <w:rFonts w:eastAsia="Arial" w:cs="Arial"/>
                <w:sz w:val="22"/>
                <w:szCs w:val="22"/>
                <w:lang w:val="en-ZA" w:eastAsia="en-US"/>
              </w:rPr>
              <w:t>use findings from monitoring and evaluation activities to inform quality improvement initiatives;</w:t>
            </w:r>
          </w:p>
          <w:p w14:paraId="7AE1E9B2" w14:textId="77777777" w:rsidR="000D04EF" w:rsidRPr="00D33A1E" w:rsidRDefault="000D04EF" w:rsidP="00237F88">
            <w:pPr>
              <w:spacing w:line="276" w:lineRule="auto"/>
              <w:ind w:left="360" w:hanging="360"/>
              <w:rPr>
                <w:rFonts w:eastAsia="Aptos" w:cs="Arial"/>
                <w:b/>
                <w:bCs/>
                <w:lang w:eastAsia="en-US"/>
              </w:rPr>
            </w:pPr>
            <w:r w:rsidRPr="00D33A1E">
              <w:rPr>
                <w:rFonts w:eastAsia="Arial" w:cs="Arial"/>
                <w:sz w:val="22"/>
                <w:szCs w:val="22"/>
                <w:lang w:val="en-ZA" w:eastAsia="en-US"/>
              </w:rPr>
              <w:t>(d) conduct periodic audits of digital health technologies and artificial intelligence systems; and(e)</w:t>
            </w:r>
            <w:r w:rsidRPr="00D33A1E">
              <w:rPr>
                <w:rFonts w:eastAsia="Aptos" w:cs="Times New Roman"/>
                <w:sz w:val="22"/>
                <w:szCs w:val="22"/>
                <w:lang w:val="en-ZA" w:eastAsia="en-US"/>
              </w:rPr>
              <w:t xml:space="preserve"> </w:t>
            </w:r>
            <w:r w:rsidRPr="00D33A1E">
              <w:rPr>
                <w:rFonts w:eastAsia="Arial" w:cs="Arial"/>
                <w:sz w:val="22"/>
                <w:szCs w:val="22"/>
                <w:lang w:val="en-ZA" w:eastAsia="en-US"/>
              </w:rPr>
              <w:t>evaluate the effectiveness of corrective and preventive actions implemented in response to monitoring findings.</w:t>
            </w:r>
          </w:p>
        </w:tc>
        <w:tc>
          <w:tcPr>
            <w:tcW w:w="4536" w:type="dxa"/>
          </w:tcPr>
          <w:p w14:paraId="47CF5D08" w14:textId="77777777" w:rsidR="000D04EF" w:rsidRPr="00D33A1E" w:rsidRDefault="000D04EF" w:rsidP="00237F88">
            <w:pPr>
              <w:rPr>
                <w:rFonts w:eastAsia="Aptos" w:cs="Arial"/>
                <w:lang w:eastAsia="en-US"/>
              </w:rPr>
            </w:pPr>
          </w:p>
        </w:tc>
        <w:tc>
          <w:tcPr>
            <w:tcW w:w="4961" w:type="dxa"/>
          </w:tcPr>
          <w:p w14:paraId="7930D00C" w14:textId="77777777" w:rsidR="000D04EF" w:rsidRPr="00D33A1E" w:rsidRDefault="000D04EF" w:rsidP="00237F88">
            <w:pPr>
              <w:rPr>
                <w:rFonts w:eastAsia="Aptos" w:cs="Arial"/>
                <w:lang w:eastAsia="en-US"/>
              </w:rPr>
            </w:pPr>
          </w:p>
        </w:tc>
      </w:tr>
      <w:tr w:rsidR="000D04EF" w:rsidRPr="00D33A1E" w14:paraId="446CF244" w14:textId="77777777" w:rsidTr="00326018">
        <w:tc>
          <w:tcPr>
            <w:tcW w:w="5382" w:type="dxa"/>
          </w:tcPr>
          <w:p w14:paraId="0293F34D" w14:textId="77777777" w:rsidR="000D04EF" w:rsidRPr="00D33A1E" w:rsidRDefault="000D04EF" w:rsidP="00237F88">
            <w:pPr>
              <w:spacing w:line="276" w:lineRule="auto"/>
              <w:rPr>
                <w:rFonts w:eastAsia="Arial" w:cs="Arial"/>
                <w:b/>
                <w:bCs/>
                <w:sz w:val="22"/>
                <w:szCs w:val="22"/>
                <w:lang w:val="en-ZA" w:eastAsia="en-US"/>
              </w:rPr>
            </w:pPr>
            <w:r w:rsidRPr="00D33A1E">
              <w:rPr>
                <w:rFonts w:eastAsia="Arial" w:cs="Arial"/>
                <w:b/>
                <w:bCs/>
                <w:sz w:val="22"/>
                <w:szCs w:val="22"/>
                <w:lang w:val="en-ZA" w:eastAsia="en-US"/>
              </w:rPr>
              <w:lastRenderedPageBreak/>
              <w:t>Regulation Title: 62 Cross-border data transfers and cloud-based systems</w:t>
            </w:r>
          </w:p>
          <w:p w14:paraId="00E990AA"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Regulation Statement: </w:t>
            </w:r>
            <w:r w:rsidRPr="00D33A1E">
              <w:rPr>
                <w:rFonts w:eastAsia="Arial" w:cs="Arial"/>
                <w:sz w:val="22"/>
                <w:szCs w:val="22"/>
                <w:lang w:val="en-ZA" w:eastAsia="en-US"/>
              </w:rPr>
              <w:t>62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that uses a cloud-based system or an artificial intelligence system that involves the processing of personal health information outside the borders of the Republic of South Africa must ensure compliance with applicable data protection and sovereignty requirements.</w:t>
            </w:r>
          </w:p>
          <w:p w14:paraId="1B5F8C60"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(2)  </w:t>
            </w:r>
            <w:r w:rsidRPr="00D33A1E">
              <w:rPr>
                <w:rFonts w:eastAsia="Arial" w:cs="Arial"/>
                <w:sz w:val="22"/>
                <w:szCs w:val="22"/>
                <w:lang w:val="en-ZA" w:eastAsia="en-US"/>
              </w:rPr>
              <w:t>For the purposes of sub-regulation (1), a health establishment must—</w:t>
            </w:r>
          </w:p>
          <w:p w14:paraId="3B98F558"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w:t>
            </w:r>
            <w:r w:rsidRPr="00D33A1E">
              <w:rPr>
                <w:rFonts w:eastAsia="Aptos" w:cs="Times New Roman"/>
                <w:sz w:val="22"/>
                <w:szCs w:val="22"/>
                <w:lang w:val="en-ZA" w:eastAsia="en-US"/>
              </w:rPr>
              <w:t xml:space="preserve"> </w:t>
            </w:r>
            <w:r w:rsidRPr="00D33A1E">
              <w:rPr>
                <w:rFonts w:eastAsia="Arial" w:cs="Arial"/>
                <w:sz w:val="22"/>
                <w:szCs w:val="22"/>
                <w:lang w:val="en-ZA" w:eastAsia="en-US"/>
              </w:rPr>
              <w:t>ensure that any cross-border transfer of personal health information complies with section 72 of POPIA, including the requirements regarding adequate protection in the recipient country or as provided for in contractual arrangements;</w:t>
            </w:r>
          </w:p>
          <w:p w14:paraId="7608F9AF"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include in vendor contracts governing cloud-based systems, explicit provisions relating to-</w:t>
            </w:r>
          </w:p>
          <w:p w14:paraId="515FA675"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(i)</w:t>
            </w:r>
            <w:r w:rsidRPr="00D33A1E">
              <w:rPr>
                <w:rFonts w:eastAsia="Aptos" w:cs="Times New Roman"/>
                <w:sz w:val="22"/>
                <w:szCs w:val="22"/>
                <w:lang w:val="en-ZA" w:eastAsia="en-US"/>
              </w:rPr>
              <w:t xml:space="preserve"> </w:t>
            </w:r>
            <w:r w:rsidRPr="00D33A1E">
              <w:rPr>
                <w:rFonts w:eastAsia="Arial" w:cs="Arial"/>
                <w:sz w:val="22"/>
                <w:szCs w:val="22"/>
                <w:lang w:val="en-ZA" w:eastAsia="en-US"/>
              </w:rPr>
              <w:t>the geographic location of data storage and processing;</w:t>
            </w:r>
          </w:p>
          <w:p w14:paraId="5D81C852"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(ii) compliance with South African data protection legislation; and</w:t>
            </w:r>
          </w:p>
          <w:p w14:paraId="56EEC841"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(iii) applicable data recovery, portability, and deletion obligations;</w:t>
            </w:r>
          </w:p>
          <w:p w14:paraId="218556FB"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 xml:space="preserve">(c) assess and document the risks associated with cross-border data processing as part of the risk </w:t>
            </w:r>
            <w:r w:rsidRPr="00D33A1E">
              <w:rPr>
                <w:rFonts w:eastAsia="Arial" w:cs="Arial"/>
                <w:sz w:val="22"/>
                <w:szCs w:val="22"/>
                <w:lang w:val="en-ZA" w:eastAsia="en-US"/>
              </w:rPr>
              <w:lastRenderedPageBreak/>
              <w:t>assessment contemplated in regulation 46(2)(d); and</w:t>
            </w:r>
          </w:p>
          <w:p w14:paraId="1366AE35" w14:textId="77777777" w:rsidR="000D04EF" w:rsidRPr="00D33A1E" w:rsidRDefault="000D04EF" w:rsidP="00237F88">
            <w:pPr>
              <w:spacing w:line="276" w:lineRule="auto"/>
              <w:ind w:left="360" w:hanging="360"/>
              <w:rPr>
                <w:rFonts w:eastAsia="Aptos" w:cs="Arial"/>
                <w:b/>
                <w:bCs/>
                <w:lang w:eastAsia="en-US"/>
              </w:rPr>
            </w:pPr>
            <w:r w:rsidRPr="00D33A1E">
              <w:rPr>
                <w:rFonts w:eastAsia="Arial" w:cs="Arial"/>
                <w:sz w:val="22"/>
                <w:szCs w:val="22"/>
                <w:lang w:val="en-ZA" w:eastAsia="en-US"/>
              </w:rPr>
              <w:t>(d) ensure that reliance on a cloud-based system does not compromise the availability, integrity, or continuity of healthcare services, and that appropriate business continuity measures are in place in accordance with regulation 54(2)(e).</w:t>
            </w:r>
          </w:p>
        </w:tc>
        <w:tc>
          <w:tcPr>
            <w:tcW w:w="4536" w:type="dxa"/>
          </w:tcPr>
          <w:p w14:paraId="6535E49E" w14:textId="77777777" w:rsidR="000D04EF" w:rsidRPr="00D33A1E" w:rsidRDefault="000D04EF" w:rsidP="00237F88">
            <w:pPr>
              <w:rPr>
                <w:rFonts w:eastAsia="Aptos" w:cs="Arial"/>
                <w:lang w:eastAsia="en-US"/>
              </w:rPr>
            </w:pPr>
          </w:p>
        </w:tc>
        <w:tc>
          <w:tcPr>
            <w:tcW w:w="4961" w:type="dxa"/>
          </w:tcPr>
          <w:p w14:paraId="5F907888" w14:textId="77777777" w:rsidR="000D04EF" w:rsidRPr="00D33A1E" w:rsidRDefault="000D04EF" w:rsidP="00237F88">
            <w:pPr>
              <w:rPr>
                <w:rFonts w:eastAsia="Aptos" w:cs="Arial"/>
                <w:lang w:eastAsia="en-US"/>
              </w:rPr>
            </w:pPr>
          </w:p>
        </w:tc>
      </w:tr>
      <w:tr w:rsidR="000D04EF" w:rsidRPr="00D33A1E" w14:paraId="153CAD39" w14:textId="77777777" w:rsidTr="00326018">
        <w:tc>
          <w:tcPr>
            <w:tcW w:w="5382" w:type="dxa"/>
          </w:tcPr>
          <w:p w14:paraId="2296F405" w14:textId="77777777" w:rsidR="000D04EF" w:rsidRPr="00D33A1E" w:rsidRDefault="000D04EF" w:rsidP="00237F88">
            <w:pPr>
              <w:spacing w:line="276" w:lineRule="auto"/>
              <w:rPr>
                <w:rFonts w:eastAsia="Arial" w:cs="Arial"/>
                <w:b/>
                <w:bCs/>
                <w:sz w:val="22"/>
                <w:szCs w:val="22"/>
                <w:lang w:val="en-ZA" w:eastAsia="en-US"/>
              </w:rPr>
            </w:pPr>
            <w:r w:rsidRPr="00D33A1E">
              <w:rPr>
                <w:rFonts w:eastAsia="Arial" w:cs="Arial"/>
                <w:b/>
                <w:bCs/>
                <w:sz w:val="22"/>
                <w:szCs w:val="22"/>
                <w:lang w:val="en-ZA" w:eastAsia="en-US"/>
              </w:rPr>
              <w:t>Regulation Title: 63 Environmental sustainability and responsible digital health</w:t>
            </w:r>
          </w:p>
          <w:p w14:paraId="141C2B14"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Regulation Statement</w:t>
            </w:r>
            <w:r w:rsidRPr="00D33A1E">
              <w:rPr>
                <w:rFonts w:eastAsia="Arial" w:cs="Arial"/>
                <w:sz w:val="22"/>
                <w:szCs w:val="22"/>
                <w:lang w:val="en-ZA" w:eastAsia="en-US"/>
              </w:rPr>
              <w:t>: 63 (1)</w:t>
            </w:r>
            <w:r w:rsidRPr="00D33A1E">
              <w:rPr>
                <w:rFonts w:eastAsia="Arial" w:cs="Arial"/>
                <w:b/>
                <w:bCs/>
                <w:sz w:val="22"/>
                <w:szCs w:val="22"/>
                <w:lang w:val="en-ZA" w:eastAsia="en-US"/>
              </w:rPr>
              <w:t xml:space="preserve">  </w:t>
            </w:r>
            <w:r w:rsidRPr="00D33A1E">
              <w:rPr>
                <w:rFonts w:eastAsia="Arial" w:cs="Arial"/>
                <w:sz w:val="22"/>
                <w:szCs w:val="22"/>
                <w:lang w:val="en-ZA" w:eastAsia="en-US"/>
              </w:rPr>
              <w:t>A health establishment must promote environmentally sustainable and responsible practices in the acquisition, use, maintenance, and disposal of digital health technologies and artificial intelligence systems.</w:t>
            </w:r>
          </w:p>
          <w:p w14:paraId="17AD47C7" w14:textId="77777777" w:rsidR="000D04EF" w:rsidRPr="00D33A1E" w:rsidRDefault="000D04EF" w:rsidP="00237F88">
            <w:pPr>
              <w:spacing w:line="276" w:lineRule="auto"/>
              <w:rPr>
                <w:rFonts w:eastAsia="Arial" w:cs="Arial"/>
                <w:sz w:val="22"/>
                <w:szCs w:val="22"/>
                <w:lang w:val="en-ZA" w:eastAsia="en-US"/>
              </w:rPr>
            </w:pPr>
            <w:r w:rsidRPr="00D33A1E">
              <w:rPr>
                <w:rFonts w:eastAsia="Arial" w:cs="Arial"/>
                <w:b/>
                <w:bCs/>
                <w:sz w:val="22"/>
                <w:szCs w:val="22"/>
                <w:lang w:val="en-ZA" w:eastAsia="en-US"/>
              </w:rPr>
              <w:t xml:space="preserve">Sub-regulation Statement: (2)  </w:t>
            </w:r>
            <w:r w:rsidRPr="00D33A1E">
              <w:rPr>
                <w:rFonts w:eastAsia="Arial" w:cs="Arial"/>
                <w:sz w:val="22"/>
                <w:szCs w:val="22"/>
                <w:lang w:val="en-ZA" w:eastAsia="en-US"/>
              </w:rPr>
              <w:t>For the purposes of sub-regulation (1), a health establishment must—</w:t>
            </w:r>
          </w:p>
          <w:p w14:paraId="6DA768E5"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(a) consider the environmental impact of digital health technologies during procurement and implementation planning;</w:t>
            </w:r>
          </w:p>
          <w:p w14:paraId="4A6FFD98"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(b) ensure that electronic equipment is maintained, reused, recycled, or disposed of in accordance with the requirements of the National Environmental Management: Waste Act, 2008 (Act No. 59 of 2008), and any applicable e-waste regulations;</w:t>
            </w:r>
          </w:p>
          <w:p w14:paraId="45609958" w14:textId="77777777" w:rsidR="000D04EF" w:rsidRPr="00D33A1E" w:rsidRDefault="000D04EF" w:rsidP="00237F88">
            <w:pPr>
              <w:spacing w:line="276" w:lineRule="auto"/>
              <w:ind w:left="360" w:hanging="360"/>
              <w:rPr>
                <w:rFonts w:eastAsia="Arial" w:cs="Arial"/>
                <w:sz w:val="22"/>
                <w:szCs w:val="22"/>
                <w:lang w:val="en-ZA" w:eastAsia="en-US"/>
              </w:rPr>
            </w:pPr>
            <w:r w:rsidRPr="00D33A1E">
              <w:rPr>
                <w:rFonts w:eastAsia="Arial" w:cs="Arial"/>
                <w:sz w:val="22"/>
                <w:szCs w:val="22"/>
                <w:lang w:val="en-ZA" w:eastAsia="en-US"/>
              </w:rPr>
              <w:t>(c) implement measures to promote the efficient use of digital infrastructure and resources; and</w:t>
            </w:r>
          </w:p>
          <w:p w14:paraId="25E798BE" w14:textId="77777777" w:rsidR="000D04EF" w:rsidRPr="00D33A1E" w:rsidRDefault="000D04EF" w:rsidP="00237F88">
            <w:pPr>
              <w:spacing w:line="276" w:lineRule="auto"/>
              <w:ind w:left="360" w:hanging="360"/>
              <w:rPr>
                <w:rFonts w:eastAsia="Aptos" w:cs="Arial"/>
                <w:b/>
                <w:bCs/>
                <w:lang w:eastAsia="en-US"/>
              </w:rPr>
            </w:pPr>
            <w:r w:rsidRPr="00D33A1E">
              <w:rPr>
                <w:rFonts w:eastAsia="Arial" w:cs="Arial"/>
                <w:sz w:val="22"/>
                <w:szCs w:val="22"/>
                <w:lang w:val="en-ZA" w:eastAsia="en-US"/>
              </w:rPr>
              <w:lastRenderedPageBreak/>
              <w:t>(d) incorporate environmental sustainability considerations into digital health planning and decision-making.</w:t>
            </w:r>
          </w:p>
        </w:tc>
        <w:tc>
          <w:tcPr>
            <w:tcW w:w="4536" w:type="dxa"/>
          </w:tcPr>
          <w:p w14:paraId="40DB6759" w14:textId="77777777" w:rsidR="000D04EF" w:rsidRPr="00D33A1E" w:rsidRDefault="000D04EF" w:rsidP="00237F88">
            <w:pPr>
              <w:rPr>
                <w:rFonts w:eastAsia="Aptos" w:cs="Arial"/>
                <w:lang w:eastAsia="en-US"/>
              </w:rPr>
            </w:pPr>
          </w:p>
        </w:tc>
        <w:tc>
          <w:tcPr>
            <w:tcW w:w="4961" w:type="dxa"/>
          </w:tcPr>
          <w:p w14:paraId="3C188F42" w14:textId="77777777" w:rsidR="000D04EF" w:rsidRPr="00D33A1E" w:rsidRDefault="000D04EF" w:rsidP="00237F88">
            <w:pPr>
              <w:rPr>
                <w:rFonts w:eastAsia="Aptos" w:cs="Arial"/>
                <w:lang w:eastAsia="en-US"/>
              </w:rPr>
            </w:pPr>
          </w:p>
        </w:tc>
      </w:tr>
      <w:tr w:rsidR="000D04EF" w:rsidRPr="00D33A1E" w14:paraId="3E7C5E9E" w14:textId="77777777" w:rsidTr="00326018">
        <w:tc>
          <w:tcPr>
            <w:tcW w:w="5382" w:type="dxa"/>
          </w:tcPr>
          <w:p w14:paraId="53CE19CE" w14:textId="77777777" w:rsidR="000D04EF" w:rsidRPr="00D33A1E" w:rsidRDefault="000D04EF" w:rsidP="000D04EF">
            <w:pPr>
              <w:spacing w:line="360" w:lineRule="auto"/>
              <w:rPr>
                <w:rFonts w:eastAsia="Aptos" w:cs="Arial"/>
                <w:b/>
                <w:bCs/>
                <w:lang w:eastAsia="en-US"/>
              </w:rPr>
            </w:pPr>
            <w:r w:rsidRPr="00D33A1E">
              <w:rPr>
                <w:rFonts w:eastAsia="Aptos" w:cs="Times New Roman"/>
                <w:b/>
                <w:bCs/>
                <w:sz w:val="22"/>
                <w:szCs w:val="22"/>
                <w:lang w:val="en-ZA" w:eastAsia="en-US"/>
              </w:rPr>
              <w:t>CHAPTER 11: GENERAL PROVISIONS</w:t>
            </w:r>
          </w:p>
        </w:tc>
        <w:tc>
          <w:tcPr>
            <w:tcW w:w="4536" w:type="dxa"/>
          </w:tcPr>
          <w:p w14:paraId="24C0D339" w14:textId="77777777" w:rsidR="000D04EF" w:rsidRPr="00D33A1E" w:rsidRDefault="000D04EF" w:rsidP="000D04EF">
            <w:pPr>
              <w:rPr>
                <w:rFonts w:eastAsia="Aptos" w:cs="Arial"/>
                <w:lang w:eastAsia="en-US"/>
              </w:rPr>
            </w:pPr>
          </w:p>
        </w:tc>
        <w:tc>
          <w:tcPr>
            <w:tcW w:w="4961" w:type="dxa"/>
          </w:tcPr>
          <w:p w14:paraId="1473EDF4" w14:textId="77777777" w:rsidR="000D04EF" w:rsidRPr="00D33A1E" w:rsidRDefault="000D04EF" w:rsidP="000D04EF">
            <w:pPr>
              <w:rPr>
                <w:rFonts w:eastAsia="Aptos" w:cs="Arial"/>
                <w:lang w:eastAsia="en-US"/>
              </w:rPr>
            </w:pPr>
          </w:p>
        </w:tc>
      </w:tr>
      <w:tr w:rsidR="000D04EF" w:rsidRPr="00D33A1E" w14:paraId="34A43992" w14:textId="77777777" w:rsidTr="00326018">
        <w:tc>
          <w:tcPr>
            <w:tcW w:w="5382" w:type="dxa"/>
          </w:tcPr>
          <w:p w14:paraId="444696FC" w14:textId="77777777" w:rsidR="000D04EF" w:rsidRPr="00D33A1E" w:rsidRDefault="000D04EF" w:rsidP="00A62952">
            <w:pPr>
              <w:rPr>
                <w:rFonts w:eastAsia="Aptos" w:cs="Arial"/>
                <w:b/>
                <w:bCs/>
                <w:lang w:eastAsia="en-US"/>
              </w:rPr>
            </w:pPr>
            <w:r w:rsidRPr="00D33A1E">
              <w:rPr>
                <w:rFonts w:eastAsia="Aptos" w:cs="Times New Roman"/>
                <w:color w:val="000000"/>
                <w:sz w:val="22"/>
                <w:szCs w:val="22"/>
                <w:lang w:val="en-ZA" w:eastAsia="en-US"/>
              </w:rPr>
              <w:t>64. These regulations shall be called the Regulations Relating to Safe and Quality Health care Services Applicable to Different Categories of Health Establishments, 2027 and come into effect on a date of publication in the Government Gazette.</w:t>
            </w:r>
          </w:p>
        </w:tc>
        <w:tc>
          <w:tcPr>
            <w:tcW w:w="4536" w:type="dxa"/>
          </w:tcPr>
          <w:p w14:paraId="631B153D" w14:textId="77777777" w:rsidR="000D04EF" w:rsidRPr="00D33A1E" w:rsidRDefault="000D04EF" w:rsidP="000D04EF">
            <w:pPr>
              <w:rPr>
                <w:rFonts w:eastAsia="Aptos" w:cs="Arial"/>
                <w:lang w:eastAsia="en-US"/>
              </w:rPr>
            </w:pPr>
          </w:p>
        </w:tc>
        <w:tc>
          <w:tcPr>
            <w:tcW w:w="4961" w:type="dxa"/>
          </w:tcPr>
          <w:p w14:paraId="210AC13E" w14:textId="77777777" w:rsidR="000D04EF" w:rsidRPr="00D33A1E" w:rsidRDefault="000D04EF" w:rsidP="000D04EF">
            <w:pPr>
              <w:rPr>
                <w:rFonts w:eastAsia="Aptos" w:cs="Arial"/>
                <w:lang w:eastAsia="en-US"/>
              </w:rPr>
            </w:pPr>
          </w:p>
        </w:tc>
      </w:tr>
    </w:tbl>
    <w:p w14:paraId="797A29EA" w14:textId="77777777" w:rsidR="000D04EF" w:rsidRPr="00D33A1E" w:rsidRDefault="000D04EF" w:rsidP="00B85027">
      <w:pPr>
        <w:ind w:left="360"/>
        <w:jc w:val="both"/>
        <w:rPr>
          <w:rFonts w:cs="Arial"/>
          <w:sz w:val="22"/>
          <w:szCs w:val="22"/>
        </w:rPr>
      </w:pPr>
    </w:p>
    <w:p w14:paraId="489D8144" w14:textId="5998AB8A" w:rsidR="00FF5F5D" w:rsidRPr="00D33A1E" w:rsidRDefault="00FF5F5D" w:rsidP="00BB5F65">
      <w:pPr>
        <w:pStyle w:val="ListParagraph"/>
        <w:numPr>
          <w:ilvl w:val="0"/>
          <w:numId w:val="5"/>
        </w:numPr>
        <w:jc w:val="both"/>
        <w:rPr>
          <w:rFonts w:cs="Arial"/>
          <w:b/>
          <w:bCs/>
          <w:sz w:val="22"/>
          <w:szCs w:val="22"/>
        </w:rPr>
      </w:pPr>
      <w:r w:rsidRPr="00D33A1E">
        <w:rPr>
          <w:rFonts w:cs="Arial"/>
          <w:b/>
          <w:bCs/>
          <w:sz w:val="22"/>
          <w:szCs w:val="22"/>
        </w:rPr>
        <w:t>GENERAL COMMENTS</w:t>
      </w:r>
    </w:p>
    <w:p w14:paraId="5D74FB19" w14:textId="77777777" w:rsidR="00FF5F5D" w:rsidRPr="00D33A1E" w:rsidRDefault="00FF5F5D" w:rsidP="00DB1A8B">
      <w:pPr>
        <w:jc w:val="both"/>
        <w:rPr>
          <w:rFonts w:cs="Arial"/>
          <w:sz w:val="22"/>
          <w:szCs w:val="22"/>
        </w:rPr>
      </w:pPr>
      <w:r w:rsidRPr="00D33A1E">
        <w:rPr>
          <w:rFonts w:cs="Arial"/>
          <w:sz w:val="22"/>
          <w:szCs w:val="22"/>
        </w:rPr>
        <w:t>This section may be used for comments that are not linked to a specific provision.</w:t>
      </w:r>
    </w:p>
    <w:p w14:paraId="76CF974D" w14:textId="622BC6AF" w:rsidR="00FF5F5D" w:rsidRPr="00D33A1E" w:rsidRDefault="00FF5F5D" w:rsidP="00DB1A8B">
      <w:pPr>
        <w:jc w:val="both"/>
        <w:rPr>
          <w:rFonts w:cs="Arial"/>
          <w:b/>
          <w:bCs/>
          <w:sz w:val="22"/>
          <w:szCs w:val="22"/>
        </w:rPr>
      </w:pPr>
      <w:r w:rsidRPr="00D33A1E">
        <w:rPr>
          <w:rFonts w:cs="Arial"/>
          <w:b/>
          <w:bCs/>
          <w:sz w:val="22"/>
          <w:szCs w:val="22"/>
        </w:rPr>
        <w:t>4.1 What are the key areas in Draft 1</w:t>
      </w:r>
      <w:r w:rsidR="0043267C" w:rsidRPr="00D33A1E">
        <w:rPr>
          <w:rFonts w:cs="Arial"/>
          <w:b/>
          <w:bCs/>
          <w:sz w:val="22"/>
          <w:szCs w:val="22"/>
        </w:rPr>
        <w:t>.1</w:t>
      </w:r>
      <w:r w:rsidRPr="00D33A1E">
        <w:rPr>
          <w:rFonts w:cs="Arial"/>
          <w:b/>
          <w:bCs/>
          <w:sz w:val="22"/>
          <w:szCs w:val="22"/>
        </w:rPr>
        <w:t xml:space="preserve"> that you support?</w:t>
      </w:r>
    </w:p>
    <w:p w14:paraId="76F12509" w14:textId="1DC85A12" w:rsidR="00FF5F5D" w:rsidRPr="00D33A1E" w:rsidRDefault="00FF5F5D" w:rsidP="00DB1A8B">
      <w:pPr>
        <w:jc w:val="both"/>
        <w:rPr>
          <w:rFonts w:cs="Arial"/>
          <w:b/>
          <w:bCs/>
          <w:sz w:val="22"/>
          <w:szCs w:val="22"/>
        </w:rPr>
      </w:pPr>
      <w:r w:rsidRPr="00D33A1E">
        <w:rPr>
          <w:rFonts w:cs="Arial"/>
          <w:b/>
          <w:bCs/>
          <w:sz w:val="22"/>
          <w:szCs w:val="22"/>
        </w:rPr>
        <w:t>4.2 What areas require further consideration or improvement?</w:t>
      </w:r>
    </w:p>
    <w:p w14:paraId="31073F3F" w14:textId="65034D4C" w:rsidR="00FF5F5D" w:rsidRPr="00D33A1E" w:rsidRDefault="00FF5F5D" w:rsidP="00DB1A8B">
      <w:pPr>
        <w:jc w:val="both"/>
        <w:rPr>
          <w:rFonts w:cs="Arial"/>
          <w:b/>
          <w:bCs/>
          <w:sz w:val="22"/>
          <w:szCs w:val="22"/>
        </w:rPr>
      </w:pPr>
      <w:r w:rsidRPr="00D33A1E">
        <w:rPr>
          <w:rFonts w:cs="Arial"/>
          <w:b/>
          <w:bCs/>
          <w:sz w:val="22"/>
          <w:szCs w:val="22"/>
        </w:rPr>
        <w:t>4.3 Are there any important issues that are not addressed in Draft 1</w:t>
      </w:r>
      <w:r w:rsidR="0043267C" w:rsidRPr="00D33A1E">
        <w:rPr>
          <w:rFonts w:cs="Arial"/>
          <w:b/>
          <w:bCs/>
          <w:sz w:val="22"/>
          <w:szCs w:val="22"/>
        </w:rPr>
        <w:t>.1</w:t>
      </w:r>
      <w:r w:rsidRPr="00D33A1E">
        <w:rPr>
          <w:rFonts w:cs="Arial"/>
          <w:b/>
          <w:bCs/>
          <w:sz w:val="22"/>
          <w:szCs w:val="22"/>
        </w:rPr>
        <w:t>?</w:t>
      </w:r>
    </w:p>
    <w:p w14:paraId="7E121DB0" w14:textId="77777777" w:rsidR="00FF5F5D" w:rsidRPr="00D33A1E" w:rsidRDefault="00FF5F5D" w:rsidP="00DB1A8B">
      <w:pPr>
        <w:jc w:val="both"/>
        <w:rPr>
          <w:rFonts w:cs="Arial"/>
          <w:b/>
          <w:bCs/>
          <w:sz w:val="22"/>
          <w:szCs w:val="22"/>
        </w:rPr>
      </w:pPr>
      <w:r w:rsidRPr="00D33A1E">
        <w:rPr>
          <w:rFonts w:cs="Arial"/>
          <w:b/>
          <w:bCs/>
          <w:sz w:val="22"/>
          <w:szCs w:val="22"/>
        </w:rPr>
        <w:t>4.4 Are there any proposed requirements that may be difficult to implement?</w:t>
      </w:r>
    </w:p>
    <w:p w14:paraId="575D7095" w14:textId="35810FDD" w:rsidR="00FF5F5D" w:rsidRPr="00D33A1E" w:rsidRDefault="00FF5F5D" w:rsidP="00DB1A8B">
      <w:pPr>
        <w:jc w:val="both"/>
        <w:rPr>
          <w:rFonts w:cs="Arial"/>
          <w:sz w:val="22"/>
          <w:szCs w:val="22"/>
        </w:rPr>
      </w:pPr>
      <w:r w:rsidRPr="00D33A1E">
        <w:rPr>
          <w:rFonts w:cs="Arial"/>
          <w:sz w:val="22"/>
          <w:szCs w:val="22"/>
        </w:rPr>
        <w:t>If yes, please provide details and, where possible, suggest an alternative approach.</w:t>
      </w:r>
    </w:p>
    <w:p w14:paraId="574752CF" w14:textId="77777777" w:rsidR="00F95977" w:rsidRPr="00D33A1E" w:rsidRDefault="00FF5F5D" w:rsidP="00DB1A8B">
      <w:pPr>
        <w:jc w:val="both"/>
        <w:rPr>
          <w:rFonts w:cs="Arial"/>
          <w:b/>
          <w:bCs/>
          <w:sz w:val="22"/>
          <w:szCs w:val="22"/>
        </w:rPr>
      </w:pPr>
      <w:r w:rsidRPr="00D33A1E">
        <w:rPr>
          <w:rFonts w:cs="Arial"/>
          <w:b/>
          <w:bCs/>
          <w:sz w:val="22"/>
          <w:szCs w:val="22"/>
        </w:rPr>
        <w:t>4.5 Additional comments</w:t>
      </w:r>
    </w:p>
    <w:p w14:paraId="2B0332D0" w14:textId="544A0DB8" w:rsidR="00FF5F5D" w:rsidRPr="00D33A1E" w:rsidRDefault="00F95977" w:rsidP="00DB1A8B">
      <w:pPr>
        <w:jc w:val="both"/>
        <w:rPr>
          <w:rFonts w:cs="Arial"/>
          <w:b/>
          <w:bCs/>
          <w:sz w:val="22"/>
          <w:szCs w:val="22"/>
        </w:rPr>
      </w:pPr>
      <w:r w:rsidRPr="00D33A1E">
        <w:rPr>
          <w:rFonts w:cs="Arial"/>
          <w:b/>
          <w:bCs/>
          <w:sz w:val="22"/>
          <w:szCs w:val="22"/>
        </w:rPr>
        <w:t xml:space="preserve">5. </w:t>
      </w:r>
      <w:r w:rsidR="00FF5F5D" w:rsidRPr="00D33A1E">
        <w:rPr>
          <w:rFonts w:cs="Arial"/>
          <w:b/>
          <w:bCs/>
          <w:sz w:val="22"/>
          <w:szCs w:val="22"/>
        </w:rPr>
        <w:t>SUPPORTING INFORMATION</w:t>
      </w:r>
    </w:p>
    <w:p w14:paraId="34C12357" w14:textId="77777777" w:rsidR="00FF5F5D" w:rsidRPr="00D33A1E" w:rsidRDefault="00FF5F5D" w:rsidP="00DB1A8B">
      <w:pPr>
        <w:jc w:val="both"/>
        <w:rPr>
          <w:rFonts w:cs="Arial"/>
          <w:sz w:val="22"/>
          <w:szCs w:val="22"/>
        </w:rPr>
      </w:pPr>
      <w:r w:rsidRPr="00D33A1E">
        <w:rPr>
          <w:rFonts w:cs="Arial"/>
          <w:sz w:val="22"/>
          <w:szCs w:val="22"/>
        </w:rPr>
        <w:t>Stakeholders may attach supporting information where comments are based on research, data, professional experience or other relevant evidence.</w:t>
      </w:r>
    </w:p>
    <w:p w14:paraId="707588E9" w14:textId="77777777" w:rsidR="00FF5F5D" w:rsidRPr="00D33A1E" w:rsidRDefault="00FF5F5D" w:rsidP="00F95977">
      <w:pPr>
        <w:rPr>
          <w:rFonts w:cs="Arial"/>
          <w:sz w:val="22"/>
          <w:szCs w:val="22"/>
        </w:rPr>
      </w:pPr>
      <w:r w:rsidRPr="00D33A1E">
        <w:rPr>
          <w:rFonts w:cs="Arial"/>
          <w:b/>
          <w:bCs/>
          <w:sz w:val="22"/>
          <w:szCs w:val="22"/>
        </w:rPr>
        <w:lastRenderedPageBreak/>
        <w:t>Supporting documents attached:</w:t>
      </w:r>
      <w:r w:rsidRPr="00D33A1E">
        <w:rPr>
          <w:rFonts w:cs="Arial"/>
          <w:sz w:val="22"/>
          <w:szCs w:val="22"/>
        </w:rPr>
        <w:br/>
      </w:r>
      <w:r w:rsidRPr="00D33A1E">
        <w:rPr>
          <w:rFonts w:cs="Segoe UI Symbol"/>
          <w:sz w:val="22"/>
          <w:szCs w:val="22"/>
        </w:rPr>
        <w:t>☐</w:t>
      </w:r>
      <w:r w:rsidRPr="00D33A1E">
        <w:rPr>
          <w:rFonts w:cs="Arial"/>
          <w:sz w:val="22"/>
          <w:szCs w:val="22"/>
        </w:rPr>
        <w:t xml:space="preserve"> Yes</w:t>
      </w:r>
      <w:r w:rsidRPr="00D33A1E">
        <w:rPr>
          <w:rFonts w:cs="Arial"/>
          <w:sz w:val="22"/>
          <w:szCs w:val="22"/>
        </w:rPr>
        <w:br/>
      </w:r>
      <w:r w:rsidRPr="00D33A1E">
        <w:rPr>
          <w:rFonts w:cs="Segoe UI Symbol"/>
          <w:sz w:val="22"/>
          <w:szCs w:val="22"/>
        </w:rPr>
        <w:t>☐</w:t>
      </w:r>
      <w:r w:rsidRPr="00D33A1E">
        <w:rPr>
          <w:rFonts w:cs="Arial"/>
          <w:sz w:val="22"/>
          <w:szCs w:val="22"/>
        </w:rPr>
        <w:t xml:space="preserve"> No</w:t>
      </w:r>
    </w:p>
    <w:p w14:paraId="69B6676C" w14:textId="625B6BE5" w:rsidR="00FF5F5D" w:rsidRPr="00D33A1E" w:rsidRDefault="00FF5F5D" w:rsidP="00DB1A8B">
      <w:pPr>
        <w:jc w:val="both"/>
        <w:rPr>
          <w:rFonts w:cs="Arial"/>
          <w:sz w:val="22"/>
          <w:szCs w:val="22"/>
        </w:rPr>
      </w:pPr>
      <w:r w:rsidRPr="00D33A1E">
        <w:rPr>
          <w:rFonts w:cs="Arial"/>
          <w:b/>
          <w:bCs/>
          <w:sz w:val="22"/>
          <w:szCs w:val="22"/>
        </w:rPr>
        <w:t>Please provide details of the supporting information:</w:t>
      </w:r>
    </w:p>
    <w:p w14:paraId="15AA8071" w14:textId="7D53E431" w:rsidR="00FF5F5D" w:rsidRPr="00D33A1E" w:rsidRDefault="00FF5F5D" w:rsidP="00F95977">
      <w:pPr>
        <w:pStyle w:val="ListParagraph"/>
        <w:numPr>
          <w:ilvl w:val="0"/>
          <w:numId w:val="6"/>
        </w:numPr>
        <w:jc w:val="both"/>
        <w:rPr>
          <w:rFonts w:cs="Arial"/>
          <w:b/>
          <w:bCs/>
          <w:sz w:val="22"/>
          <w:szCs w:val="22"/>
        </w:rPr>
      </w:pPr>
      <w:r w:rsidRPr="00D33A1E">
        <w:rPr>
          <w:rFonts w:cs="Arial"/>
          <w:b/>
          <w:bCs/>
          <w:sz w:val="22"/>
          <w:szCs w:val="22"/>
        </w:rPr>
        <w:t>SUBMISSION OF COMMENTS</w:t>
      </w:r>
    </w:p>
    <w:p w14:paraId="2485DAF0" w14:textId="7360CE53" w:rsidR="00B53212" w:rsidRPr="00D33A1E" w:rsidRDefault="00FF5F5D" w:rsidP="00DB1A8B">
      <w:pPr>
        <w:jc w:val="both"/>
        <w:rPr>
          <w:rFonts w:cs="Arial"/>
          <w:sz w:val="22"/>
          <w:szCs w:val="22"/>
        </w:rPr>
      </w:pPr>
      <w:r w:rsidRPr="00D33A1E">
        <w:rPr>
          <w:rFonts w:cs="Arial"/>
          <w:sz w:val="22"/>
          <w:szCs w:val="22"/>
        </w:rPr>
        <w:t>Stakeholders may submit completed templates or written submissions</w:t>
      </w:r>
      <w:r w:rsidR="004B1734">
        <w:rPr>
          <w:rFonts w:cs="Arial"/>
          <w:sz w:val="22"/>
          <w:szCs w:val="22"/>
        </w:rPr>
        <w:t>.</w:t>
      </w:r>
      <w:r w:rsidR="00B53212" w:rsidRPr="00D33A1E">
        <w:rPr>
          <w:rFonts w:cs="Arial"/>
          <w:sz w:val="22"/>
          <w:szCs w:val="22"/>
        </w:rPr>
        <w:t xml:space="preserve"> </w:t>
      </w:r>
    </w:p>
    <w:p w14:paraId="3CEAF6C0" w14:textId="256165A9" w:rsidR="00FF5F5D" w:rsidRPr="00D33A1E" w:rsidRDefault="00FF5F5D" w:rsidP="00DB1A8B">
      <w:pPr>
        <w:jc w:val="both"/>
        <w:rPr>
          <w:rFonts w:cs="Arial"/>
          <w:sz w:val="22"/>
          <w:szCs w:val="22"/>
        </w:rPr>
      </w:pPr>
      <w:r w:rsidRPr="00D33A1E">
        <w:rPr>
          <w:rFonts w:cs="Arial"/>
          <w:sz w:val="22"/>
          <w:szCs w:val="22"/>
        </w:rPr>
        <w:t xml:space="preserve">Stakeholders who participate in a consultation session may submit </w:t>
      </w:r>
      <w:r w:rsidRPr="00D33A1E">
        <w:rPr>
          <w:rFonts w:cs="Arial"/>
          <w:b/>
          <w:bCs/>
          <w:sz w:val="22"/>
          <w:szCs w:val="22"/>
        </w:rPr>
        <w:t>additional written comments</w:t>
      </w:r>
      <w:r w:rsidRPr="00D33A1E">
        <w:rPr>
          <w:rFonts w:cs="Arial"/>
          <w:sz w:val="22"/>
          <w:szCs w:val="22"/>
        </w:rPr>
        <w:t xml:space="preserve"> after the session.</w:t>
      </w:r>
    </w:p>
    <w:p w14:paraId="1D09096E" w14:textId="77777777" w:rsidR="00FF5F5D" w:rsidRPr="00D33A1E" w:rsidRDefault="00FF5F5D" w:rsidP="00DB1A8B">
      <w:pPr>
        <w:jc w:val="both"/>
        <w:rPr>
          <w:rFonts w:cs="Arial"/>
          <w:sz w:val="22"/>
          <w:szCs w:val="22"/>
        </w:rPr>
      </w:pPr>
      <w:r w:rsidRPr="00D33A1E">
        <w:rPr>
          <w:rFonts w:cs="Arial"/>
          <w:sz w:val="22"/>
          <w:szCs w:val="22"/>
        </w:rPr>
        <w:t>Stakeholders who are unable to attend a consultation session may also submit their comments in writing using this template.</w:t>
      </w:r>
    </w:p>
    <w:p w14:paraId="29DD149D" w14:textId="5AB8E136" w:rsidR="00221C2B" w:rsidRPr="00D33A1E" w:rsidRDefault="00FF5F5D" w:rsidP="00DB1A8B">
      <w:pPr>
        <w:jc w:val="both"/>
        <w:rPr>
          <w:rFonts w:cs="Arial"/>
          <w:sz w:val="22"/>
          <w:szCs w:val="22"/>
        </w:rPr>
      </w:pPr>
      <w:r w:rsidRPr="00D33A1E">
        <w:rPr>
          <w:rFonts w:cs="Arial"/>
          <w:sz w:val="22"/>
          <w:szCs w:val="22"/>
        </w:rPr>
        <w:t>All comments received will be recorded and considered as part of the review process.</w:t>
      </w:r>
    </w:p>
    <w:p w14:paraId="0E06A7AA" w14:textId="6C38C035" w:rsidR="00FF5F5D" w:rsidRPr="00D33A1E" w:rsidRDefault="00FF5F5D" w:rsidP="00DB1A8B">
      <w:pPr>
        <w:jc w:val="both"/>
        <w:rPr>
          <w:rFonts w:cs="Arial"/>
          <w:sz w:val="22"/>
          <w:szCs w:val="22"/>
        </w:rPr>
      </w:pPr>
      <w:r w:rsidRPr="00D33A1E">
        <w:rPr>
          <w:rFonts w:cs="Arial"/>
          <w:b/>
          <w:bCs/>
          <w:sz w:val="22"/>
          <w:szCs w:val="22"/>
        </w:rPr>
        <w:t>Closing date for submissions:</w:t>
      </w:r>
      <w:r w:rsidR="006071A2">
        <w:rPr>
          <w:rFonts w:cs="Arial"/>
          <w:b/>
          <w:bCs/>
          <w:sz w:val="22"/>
          <w:szCs w:val="22"/>
        </w:rPr>
        <w:t xml:space="preserve"> </w:t>
      </w:r>
    </w:p>
    <w:p w14:paraId="29F232C7" w14:textId="4A3A124F" w:rsidR="00FF5F5D" w:rsidRPr="00D33A1E" w:rsidRDefault="00455932" w:rsidP="00DB1A8B">
      <w:pPr>
        <w:jc w:val="both"/>
        <w:rPr>
          <w:rFonts w:cs="Arial"/>
        </w:rPr>
      </w:pPr>
      <w:r w:rsidRPr="00D33A1E">
        <w:rPr>
          <w:rFonts w:cs="Arial"/>
          <w:b/>
          <w:bCs/>
          <w:sz w:val="22"/>
          <w:szCs w:val="22"/>
        </w:rPr>
        <w:t>Email/submission</w:t>
      </w:r>
      <w:r w:rsidR="00FF5F5D" w:rsidRPr="00D33A1E">
        <w:rPr>
          <w:rFonts w:cs="Arial"/>
          <w:b/>
          <w:bCs/>
          <w:sz w:val="22"/>
          <w:szCs w:val="22"/>
        </w:rPr>
        <w:t xml:space="preserve"> address</w:t>
      </w:r>
      <w:r w:rsidR="003C5641" w:rsidRPr="00D33A1E">
        <w:rPr>
          <w:rFonts w:cs="Arial"/>
          <w:b/>
          <w:bCs/>
          <w:sz w:val="22"/>
          <w:szCs w:val="22"/>
        </w:rPr>
        <w:t xml:space="preserve"> and enquiries</w:t>
      </w:r>
      <w:r w:rsidR="00FF5F5D" w:rsidRPr="00D33A1E">
        <w:rPr>
          <w:rFonts w:cs="Arial"/>
          <w:b/>
          <w:bCs/>
          <w:sz w:val="22"/>
          <w:szCs w:val="22"/>
        </w:rPr>
        <w:t>:</w:t>
      </w:r>
      <w:r w:rsidR="00221C2B" w:rsidRPr="00D33A1E">
        <w:rPr>
          <w:rFonts w:cs="Arial"/>
          <w:b/>
          <w:bCs/>
          <w:sz w:val="22"/>
          <w:szCs w:val="22"/>
        </w:rPr>
        <w:t xml:space="preserve"> </w:t>
      </w:r>
      <w:hyperlink r:id="rId6" w:history="1">
        <w:r w:rsidRPr="00D33A1E">
          <w:rPr>
            <w:rStyle w:val="Hyperlink"/>
            <w:rFonts w:cs="Arial"/>
          </w:rPr>
          <w:t>standardsreview@ohsc.org.za</w:t>
        </w:r>
      </w:hyperlink>
    </w:p>
    <w:p w14:paraId="5FE335C8" w14:textId="25A60FEE" w:rsidR="00DA4FBE" w:rsidRPr="00D33A1E" w:rsidRDefault="00DA4FBE" w:rsidP="00DB1A8B">
      <w:pPr>
        <w:jc w:val="both"/>
        <w:rPr>
          <w:rFonts w:cs="Arial"/>
          <w:b/>
          <w:bCs/>
          <w:sz w:val="22"/>
          <w:szCs w:val="22"/>
        </w:rPr>
      </w:pPr>
      <w:r w:rsidRPr="00D33A1E">
        <w:rPr>
          <w:rFonts w:cs="Arial"/>
          <w:b/>
          <w:bCs/>
          <w:sz w:val="22"/>
          <w:szCs w:val="22"/>
        </w:rPr>
        <w:t xml:space="preserve">Thank you. </w:t>
      </w:r>
    </w:p>
    <w:p w14:paraId="5B8B32C2" w14:textId="528B7846" w:rsidR="00FF5F5D" w:rsidRPr="00D33A1E" w:rsidRDefault="00FF5F5D" w:rsidP="00DB1A8B">
      <w:pPr>
        <w:jc w:val="both"/>
        <w:rPr>
          <w:rFonts w:cs="Arial"/>
          <w:sz w:val="22"/>
          <w:szCs w:val="22"/>
        </w:rPr>
      </w:pPr>
    </w:p>
    <w:sectPr w:rsidR="00FF5F5D" w:rsidRPr="00D33A1E" w:rsidSect="007A0E0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81DD"/>
    <w:multiLevelType w:val="hybridMultilevel"/>
    <w:tmpl w:val="A41AFE9A"/>
    <w:lvl w:ilvl="0" w:tplc="066831C8">
      <w:start w:val="1"/>
      <w:numFmt w:val="bullet"/>
      <w:lvlText w:val=""/>
      <w:lvlJc w:val="left"/>
      <w:pPr>
        <w:ind w:left="720" w:hanging="360"/>
      </w:pPr>
      <w:rPr>
        <w:rFonts w:ascii="Symbol" w:hAnsi="Symbol" w:hint="default"/>
      </w:rPr>
    </w:lvl>
    <w:lvl w:ilvl="1" w:tplc="37563CB4">
      <w:start w:val="1"/>
      <w:numFmt w:val="bullet"/>
      <w:lvlText w:val="o"/>
      <w:lvlJc w:val="left"/>
      <w:pPr>
        <w:ind w:left="1440" w:hanging="360"/>
      </w:pPr>
      <w:rPr>
        <w:rFonts w:ascii="Courier New" w:hAnsi="Courier New" w:hint="default"/>
      </w:rPr>
    </w:lvl>
    <w:lvl w:ilvl="2" w:tplc="33746AF8">
      <w:start w:val="1"/>
      <w:numFmt w:val="bullet"/>
      <w:lvlText w:val=""/>
      <w:lvlJc w:val="left"/>
      <w:pPr>
        <w:ind w:left="2160" w:hanging="360"/>
      </w:pPr>
      <w:rPr>
        <w:rFonts w:ascii="Wingdings" w:hAnsi="Wingdings" w:hint="default"/>
      </w:rPr>
    </w:lvl>
    <w:lvl w:ilvl="3" w:tplc="23C6E124">
      <w:start w:val="1"/>
      <w:numFmt w:val="bullet"/>
      <w:lvlText w:val=""/>
      <w:lvlJc w:val="left"/>
      <w:pPr>
        <w:ind w:left="2880" w:hanging="360"/>
      </w:pPr>
      <w:rPr>
        <w:rFonts w:ascii="Symbol" w:hAnsi="Symbol" w:hint="default"/>
      </w:rPr>
    </w:lvl>
    <w:lvl w:ilvl="4" w:tplc="A3D01362">
      <w:start w:val="1"/>
      <w:numFmt w:val="bullet"/>
      <w:lvlText w:val="o"/>
      <w:lvlJc w:val="left"/>
      <w:pPr>
        <w:ind w:left="3600" w:hanging="360"/>
      </w:pPr>
      <w:rPr>
        <w:rFonts w:ascii="Courier New" w:hAnsi="Courier New" w:hint="default"/>
      </w:rPr>
    </w:lvl>
    <w:lvl w:ilvl="5" w:tplc="DF404448">
      <w:start w:val="1"/>
      <w:numFmt w:val="bullet"/>
      <w:lvlText w:val=""/>
      <w:lvlJc w:val="left"/>
      <w:pPr>
        <w:ind w:left="4320" w:hanging="360"/>
      </w:pPr>
      <w:rPr>
        <w:rFonts w:ascii="Wingdings" w:hAnsi="Wingdings" w:hint="default"/>
      </w:rPr>
    </w:lvl>
    <w:lvl w:ilvl="6" w:tplc="D06AF05A">
      <w:start w:val="1"/>
      <w:numFmt w:val="bullet"/>
      <w:lvlText w:val=""/>
      <w:lvlJc w:val="left"/>
      <w:pPr>
        <w:ind w:left="5040" w:hanging="360"/>
      </w:pPr>
      <w:rPr>
        <w:rFonts w:ascii="Symbol" w:hAnsi="Symbol" w:hint="default"/>
      </w:rPr>
    </w:lvl>
    <w:lvl w:ilvl="7" w:tplc="306AE2E2">
      <w:start w:val="1"/>
      <w:numFmt w:val="bullet"/>
      <w:lvlText w:val="o"/>
      <w:lvlJc w:val="left"/>
      <w:pPr>
        <w:ind w:left="5760" w:hanging="360"/>
      </w:pPr>
      <w:rPr>
        <w:rFonts w:ascii="Courier New" w:hAnsi="Courier New" w:hint="default"/>
      </w:rPr>
    </w:lvl>
    <w:lvl w:ilvl="8" w:tplc="8034B244">
      <w:start w:val="1"/>
      <w:numFmt w:val="bullet"/>
      <w:lvlText w:val=""/>
      <w:lvlJc w:val="left"/>
      <w:pPr>
        <w:ind w:left="6480" w:hanging="360"/>
      </w:pPr>
      <w:rPr>
        <w:rFonts w:ascii="Wingdings" w:hAnsi="Wingdings" w:hint="default"/>
      </w:rPr>
    </w:lvl>
  </w:abstractNum>
  <w:abstractNum w:abstractNumId="1" w15:restartNumberingAfterBreak="0">
    <w:nsid w:val="0665C1B8"/>
    <w:multiLevelType w:val="hybridMultilevel"/>
    <w:tmpl w:val="3868493C"/>
    <w:lvl w:ilvl="0" w:tplc="DCEABEA6">
      <w:start w:val="1"/>
      <w:numFmt w:val="decimal"/>
      <w:lvlText w:val="(%1)"/>
      <w:lvlJc w:val="left"/>
      <w:pPr>
        <w:ind w:left="360" w:hanging="360"/>
      </w:pPr>
    </w:lvl>
    <w:lvl w:ilvl="1" w:tplc="7D1892C8">
      <w:start w:val="1"/>
      <w:numFmt w:val="lowerLetter"/>
      <w:lvlText w:val="%2."/>
      <w:lvlJc w:val="left"/>
      <w:pPr>
        <w:ind w:left="1080" w:hanging="360"/>
      </w:pPr>
    </w:lvl>
    <w:lvl w:ilvl="2" w:tplc="7DB05914">
      <w:start w:val="1"/>
      <w:numFmt w:val="lowerRoman"/>
      <w:lvlText w:val="%3."/>
      <w:lvlJc w:val="right"/>
      <w:pPr>
        <w:ind w:left="1800" w:hanging="180"/>
      </w:pPr>
    </w:lvl>
    <w:lvl w:ilvl="3" w:tplc="E11A33E4">
      <w:start w:val="1"/>
      <w:numFmt w:val="decimal"/>
      <w:lvlText w:val="%4."/>
      <w:lvlJc w:val="left"/>
      <w:pPr>
        <w:ind w:left="2520" w:hanging="360"/>
      </w:pPr>
    </w:lvl>
    <w:lvl w:ilvl="4" w:tplc="FF8E768A">
      <w:start w:val="1"/>
      <w:numFmt w:val="lowerLetter"/>
      <w:lvlText w:val="%5."/>
      <w:lvlJc w:val="left"/>
      <w:pPr>
        <w:ind w:left="3240" w:hanging="360"/>
      </w:pPr>
    </w:lvl>
    <w:lvl w:ilvl="5" w:tplc="FD6E09DC">
      <w:start w:val="1"/>
      <w:numFmt w:val="lowerRoman"/>
      <w:lvlText w:val="%6."/>
      <w:lvlJc w:val="right"/>
      <w:pPr>
        <w:ind w:left="3960" w:hanging="180"/>
      </w:pPr>
    </w:lvl>
    <w:lvl w:ilvl="6" w:tplc="86804AF6">
      <w:start w:val="1"/>
      <w:numFmt w:val="decimal"/>
      <w:lvlText w:val="%7."/>
      <w:lvlJc w:val="left"/>
      <w:pPr>
        <w:ind w:left="4680" w:hanging="360"/>
      </w:pPr>
    </w:lvl>
    <w:lvl w:ilvl="7" w:tplc="3D7AE3DA">
      <w:start w:val="1"/>
      <w:numFmt w:val="lowerLetter"/>
      <w:lvlText w:val="%8."/>
      <w:lvlJc w:val="left"/>
      <w:pPr>
        <w:ind w:left="5400" w:hanging="360"/>
      </w:pPr>
    </w:lvl>
    <w:lvl w:ilvl="8" w:tplc="A55C4B16">
      <w:start w:val="1"/>
      <w:numFmt w:val="lowerRoman"/>
      <w:lvlText w:val="%9."/>
      <w:lvlJc w:val="right"/>
      <w:pPr>
        <w:ind w:left="6120" w:hanging="180"/>
      </w:pPr>
    </w:lvl>
  </w:abstractNum>
  <w:abstractNum w:abstractNumId="2" w15:restartNumberingAfterBreak="0">
    <w:nsid w:val="0A9F4B5D"/>
    <w:multiLevelType w:val="hybridMultilevel"/>
    <w:tmpl w:val="9DB0EF7E"/>
    <w:lvl w:ilvl="0" w:tplc="6128AD42">
      <w:start w:val="1"/>
      <w:numFmt w:val="decimal"/>
      <w:lvlText w:val="%1."/>
      <w:lvlJc w:val="left"/>
      <w:pPr>
        <w:ind w:left="360" w:hanging="360"/>
      </w:pPr>
    </w:lvl>
    <w:lvl w:ilvl="1" w:tplc="3C2A9420">
      <w:start w:val="1"/>
      <w:numFmt w:val="lowerLetter"/>
      <w:lvlText w:val="%2."/>
      <w:lvlJc w:val="left"/>
      <w:pPr>
        <w:ind w:left="1080" w:hanging="360"/>
      </w:pPr>
    </w:lvl>
    <w:lvl w:ilvl="2" w:tplc="FC2A992E">
      <w:start w:val="1"/>
      <w:numFmt w:val="lowerRoman"/>
      <w:lvlText w:val="%3."/>
      <w:lvlJc w:val="right"/>
      <w:pPr>
        <w:ind w:left="1800" w:hanging="180"/>
      </w:pPr>
    </w:lvl>
    <w:lvl w:ilvl="3" w:tplc="F190B6FC">
      <w:start w:val="1"/>
      <w:numFmt w:val="decimal"/>
      <w:lvlText w:val="%4."/>
      <w:lvlJc w:val="left"/>
      <w:pPr>
        <w:ind w:left="2520" w:hanging="360"/>
      </w:pPr>
    </w:lvl>
    <w:lvl w:ilvl="4" w:tplc="767E2FB0">
      <w:start w:val="1"/>
      <w:numFmt w:val="lowerLetter"/>
      <w:lvlText w:val="%5."/>
      <w:lvlJc w:val="left"/>
      <w:pPr>
        <w:ind w:left="3240" w:hanging="360"/>
      </w:pPr>
    </w:lvl>
    <w:lvl w:ilvl="5" w:tplc="BA9EC072">
      <w:start w:val="1"/>
      <w:numFmt w:val="lowerRoman"/>
      <w:lvlText w:val="%6."/>
      <w:lvlJc w:val="right"/>
      <w:pPr>
        <w:ind w:left="3960" w:hanging="180"/>
      </w:pPr>
    </w:lvl>
    <w:lvl w:ilvl="6" w:tplc="8CF64412">
      <w:start w:val="1"/>
      <w:numFmt w:val="decimal"/>
      <w:lvlText w:val="%7."/>
      <w:lvlJc w:val="left"/>
      <w:pPr>
        <w:ind w:left="4680" w:hanging="360"/>
      </w:pPr>
    </w:lvl>
    <w:lvl w:ilvl="7" w:tplc="D1D2FA60">
      <w:start w:val="1"/>
      <w:numFmt w:val="lowerLetter"/>
      <w:lvlText w:val="%8."/>
      <w:lvlJc w:val="left"/>
      <w:pPr>
        <w:ind w:left="5400" w:hanging="360"/>
      </w:pPr>
    </w:lvl>
    <w:lvl w:ilvl="8" w:tplc="D488E552">
      <w:start w:val="1"/>
      <w:numFmt w:val="lowerRoman"/>
      <w:lvlText w:val="%9."/>
      <w:lvlJc w:val="right"/>
      <w:pPr>
        <w:ind w:left="6120" w:hanging="180"/>
      </w:pPr>
    </w:lvl>
  </w:abstractNum>
  <w:abstractNum w:abstractNumId="3" w15:restartNumberingAfterBreak="0">
    <w:nsid w:val="0E7B9B6B"/>
    <w:multiLevelType w:val="hybridMultilevel"/>
    <w:tmpl w:val="187A6872"/>
    <w:lvl w:ilvl="0" w:tplc="3D6E0AC6">
      <w:start w:val="1"/>
      <w:numFmt w:val="decimal"/>
      <w:lvlText w:val="%1."/>
      <w:lvlJc w:val="left"/>
      <w:pPr>
        <w:ind w:left="360" w:hanging="360"/>
      </w:pPr>
    </w:lvl>
    <w:lvl w:ilvl="1" w:tplc="B9B4B15C">
      <w:start w:val="1"/>
      <w:numFmt w:val="lowerLetter"/>
      <w:lvlText w:val="%2."/>
      <w:lvlJc w:val="left"/>
      <w:pPr>
        <w:ind w:left="1080" w:hanging="360"/>
      </w:pPr>
    </w:lvl>
    <w:lvl w:ilvl="2" w:tplc="A656DC4A">
      <w:start w:val="1"/>
      <w:numFmt w:val="lowerRoman"/>
      <w:lvlText w:val="%3."/>
      <w:lvlJc w:val="right"/>
      <w:pPr>
        <w:ind w:left="1800" w:hanging="180"/>
      </w:pPr>
    </w:lvl>
    <w:lvl w:ilvl="3" w:tplc="B1081504">
      <w:start w:val="1"/>
      <w:numFmt w:val="decimal"/>
      <w:lvlText w:val="%4."/>
      <w:lvlJc w:val="left"/>
      <w:pPr>
        <w:ind w:left="2520" w:hanging="360"/>
      </w:pPr>
    </w:lvl>
    <w:lvl w:ilvl="4" w:tplc="8066464C">
      <w:start w:val="1"/>
      <w:numFmt w:val="lowerLetter"/>
      <w:lvlText w:val="%5."/>
      <w:lvlJc w:val="left"/>
      <w:pPr>
        <w:ind w:left="3240" w:hanging="360"/>
      </w:pPr>
    </w:lvl>
    <w:lvl w:ilvl="5" w:tplc="468A7B5C">
      <w:start w:val="1"/>
      <w:numFmt w:val="lowerRoman"/>
      <w:lvlText w:val="%6."/>
      <w:lvlJc w:val="right"/>
      <w:pPr>
        <w:ind w:left="3960" w:hanging="180"/>
      </w:pPr>
    </w:lvl>
    <w:lvl w:ilvl="6" w:tplc="038E9956">
      <w:start w:val="1"/>
      <w:numFmt w:val="decimal"/>
      <w:lvlText w:val="%7."/>
      <w:lvlJc w:val="left"/>
      <w:pPr>
        <w:ind w:left="4680" w:hanging="360"/>
      </w:pPr>
    </w:lvl>
    <w:lvl w:ilvl="7" w:tplc="19C2A8B4">
      <w:start w:val="1"/>
      <w:numFmt w:val="lowerLetter"/>
      <w:lvlText w:val="%8."/>
      <w:lvlJc w:val="left"/>
      <w:pPr>
        <w:ind w:left="5400" w:hanging="360"/>
      </w:pPr>
    </w:lvl>
    <w:lvl w:ilvl="8" w:tplc="6B82FB78">
      <w:start w:val="1"/>
      <w:numFmt w:val="lowerRoman"/>
      <w:lvlText w:val="%9."/>
      <w:lvlJc w:val="right"/>
      <w:pPr>
        <w:ind w:left="6120" w:hanging="180"/>
      </w:pPr>
    </w:lvl>
  </w:abstractNum>
  <w:abstractNum w:abstractNumId="4" w15:restartNumberingAfterBreak="0">
    <w:nsid w:val="17194B10"/>
    <w:multiLevelType w:val="hybridMultilevel"/>
    <w:tmpl w:val="BCD602B6"/>
    <w:lvl w:ilvl="0" w:tplc="700009A8">
      <w:start w:val="1"/>
      <w:numFmt w:val="decimal"/>
      <w:lvlText w:val="%1."/>
      <w:lvlJc w:val="left"/>
      <w:pPr>
        <w:ind w:left="720" w:hanging="360"/>
      </w:pPr>
    </w:lvl>
    <w:lvl w:ilvl="1" w:tplc="DFE00F72">
      <w:start w:val="1"/>
      <w:numFmt w:val="lowerLetter"/>
      <w:lvlText w:val="%2."/>
      <w:lvlJc w:val="left"/>
      <w:pPr>
        <w:ind w:left="1440" w:hanging="360"/>
      </w:pPr>
    </w:lvl>
    <w:lvl w:ilvl="2" w:tplc="C504ADB0">
      <w:start w:val="1"/>
      <w:numFmt w:val="lowerRoman"/>
      <w:lvlText w:val="%3."/>
      <w:lvlJc w:val="right"/>
      <w:pPr>
        <w:ind w:left="2160" w:hanging="180"/>
      </w:pPr>
    </w:lvl>
    <w:lvl w:ilvl="3" w:tplc="D690078C">
      <w:start w:val="1"/>
      <w:numFmt w:val="decimal"/>
      <w:lvlText w:val="%4."/>
      <w:lvlJc w:val="left"/>
      <w:pPr>
        <w:ind w:left="2880" w:hanging="360"/>
      </w:pPr>
    </w:lvl>
    <w:lvl w:ilvl="4" w:tplc="FC505254">
      <w:start w:val="1"/>
      <w:numFmt w:val="lowerLetter"/>
      <w:lvlText w:val="%5."/>
      <w:lvlJc w:val="left"/>
      <w:pPr>
        <w:ind w:left="3600" w:hanging="360"/>
      </w:pPr>
    </w:lvl>
    <w:lvl w:ilvl="5" w:tplc="F8B850C6">
      <w:start w:val="1"/>
      <w:numFmt w:val="lowerRoman"/>
      <w:lvlText w:val="%6."/>
      <w:lvlJc w:val="right"/>
      <w:pPr>
        <w:ind w:left="4320" w:hanging="180"/>
      </w:pPr>
    </w:lvl>
    <w:lvl w:ilvl="6" w:tplc="53C4ED9E">
      <w:start w:val="1"/>
      <w:numFmt w:val="decimal"/>
      <w:lvlText w:val="%7."/>
      <w:lvlJc w:val="left"/>
      <w:pPr>
        <w:ind w:left="5040" w:hanging="360"/>
      </w:pPr>
    </w:lvl>
    <w:lvl w:ilvl="7" w:tplc="6064396C">
      <w:start w:val="1"/>
      <w:numFmt w:val="lowerLetter"/>
      <w:lvlText w:val="%8."/>
      <w:lvlJc w:val="left"/>
      <w:pPr>
        <w:ind w:left="5760" w:hanging="360"/>
      </w:pPr>
    </w:lvl>
    <w:lvl w:ilvl="8" w:tplc="60226FAA">
      <w:start w:val="1"/>
      <w:numFmt w:val="lowerRoman"/>
      <w:lvlText w:val="%9."/>
      <w:lvlJc w:val="right"/>
      <w:pPr>
        <w:ind w:left="6480" w:hanging="180"/>
      </w:pPr>
    </w:lvl>
  </w:abstractNum>
  <w:abstractNum w:abstractNumId="5" w15:restartNumberingAfterBreak="0">
    <w:nsid w:val="1A863C52"/>
    <w:multiLevelType w:val="hybridMultilevel"/>
    <w:tmpl w:val="ABF0A9A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11817D"/>
    <w:multiLevelType w:val="hybridMultilevel"/>
    <w:tmpl w:val="6900B268"/>
    <w:lvl w:ilvl="0" w:tplc="E530F760">
      <w:start w:val="1"/>
      <w:numFmt w:val="bullet"/>
      <w:lvlText w:val=""/>
      <w:lvlJc w:val="left"/>
      <w:pPr>
        <w:ind w:left="720" w:hanging="360"/>
      </w:pPr>
      <w:rPr>
        <w:rFonts w:ascii="Symbol" w:hAnsi="Symbol" w:hint="default"/>
      </w:rPr>
    </w:lvl>
    <w:lvl w:ilvl="1" w:tplc="C5108048">
      <w:start w:val="1"/>
      <w:numFmt w:val="bullet"/>
      <w:lvlText w:val="o"/>
      <w:lvlJc w:val="left"/>
      <w:pPr>
        <w:ind w:left="1440" w:hanging="360"/>
      </w:pPr>
      <w:rPr>
        <w:rFonts w:ascii="Courier New" w:hAnsi="Courier New" w:hint="default"/>
      </w:rPr>
    </w:lvl>
    <w:lvl w:ilvl="2" w:tplc="C98EEBA0">
      <w:start w:val="1"/>
      <w:numFmt w:val="bullet"/>
      <w:lvlText w:val=""/>
      <w:lvlJc w:val="left"/>
      <w:pPr>
        <w:ind w:left="2160" w:hanging="360"/>
      </w:pPr>
      <w:rPr>
        <w:rFonts w:ascii="Wingdings" w:hAnsi="Wingdings" w:hint="default"/>
      </w:rPr>
    </w:lvl>
    <w:lvl w:ilvl="3" w:tplc="E2C66886">
      <w:start w:val="1"/>
      <w:numFmt w:val="bullet"/>
      <w:lvlText w:val=""/>
      <w:lvlJc w:val="left"/>
      <w:pPr>
        <w:ind w:left="2880" w:hanging="360"/>
      </w:pPr>
      <w:rPr>
        <w:rFonts w:ascii="Symbol" w:hAnsi="Symbol" w:hint="default"/>
      </w:rPr>
    </w:lvl>
    <w:lvl w:ilvl="4" w:tplc="72EE7500">
      <w:start w:val="1"/>
      <w:numFmt w:val="bullet"/>
      <w:lvlText w:val="o"/>
      <w:lvlJc w:val="left"/>
      <w:pPr>
        <w:ind w:left="3600" w:hanging="360"/>
      </w:pPr>
      <w:rPr>
        <w:rFonts w:ascii="Courier New" w:hAnsi="Courier New" w:hint="default"/>
      </w:rPr>
    </w:lvl>
    <w:lvl w:ilvl="5" w:tplc="1D6C2DF8">
      <w:start w:val="1"/>
      <w:numFmt w:val="bullet"/>
      <w:lvlText w:val=""/>
      <w:lvlJc w:val="left"/>
      <w:pPr>
        <w:ind w:left="4320" w:hanging="360"/>
      </w:pPr>
      <w:rPr>
        <w:rFonts w:ascii="Wingdings" w:hAnsi="Wingdings" w:hint="default"/>
      </w:rPr>
    </w:lvl>
    <w:lvl w:ilvl="6" w:tplc="0B5637A8">
      <w:start w:val="1"/>
      <w:numFmt w:val="bullet"/>
      <w:lvlText w:val=""/>
      <w:lvlJc w:val="left"/>
      <w:pPr>
        <w:ind w:left="5040" w:hanging="360"/>
      </w:pPr>
      <w:rPr>
        <w:rFonts w:ascii="Symbol" w:hAnsi="Symbol" w:hint="default"/>
      </w:rPr>
    </w:lvl>
    <w:lvl w:ilvl="7" w:tplc="9B047154">
      <w:start w:val="1"/>
      <w:numFmt w:val="bullet"/>
      <w:lvlText w:val="o"/>
      <w:lvlJc w:val="left"/>
      <w:pPr>
        <w:ind w:left="5760" w:hanging="360"/>
      </w:pPr>
      <w:rPr>
        <w:rFonts w:ascii="Courier New" w:hAnsi="Courier New" w:hint="default"/>
      </w:rPr>
    </w:lvl>
    <w:lvl w:ilvl="8" w:tplc="18781BD6">
      <w:start w:val="1"/>
      <w:numFmt w:val="bullet"/>
      <w:lvlText w:val=""/>
      <w:lvlJc w:val="left"/>
      <w:pPr>
        <w:ind w:left="6480" w:hanging="360"/>
      </w:pPr>
      <w:rPr>
        <w:rFonts w:ascii="Wingdings" w:hAnsi="Wingdings" w:hint="default"/>
      </w:rPr>
    </w:lvl>
  </w:abstractNum>
  <w:abstractNum w:abstractNumId="7" w15:restartNumberingAfterBreak="0">
    <w:nsid w:val="1CAA7603"/>
    <w:multiLevelType w:val="hybridMultilevel"/>
    <w:tmpl w:val="47F4C64E"/>
    <w:lvl w:ilvl="0" w:tplc="2B328640">
      <w:start w:val="1"/>
      <w:numFmt w:val="bullet"/>
      <w:lvlText w:val=""/>
      <w:lvlJc w:val="left"/>
      <w:pPr>
        <w:ind w:left="720" w:hanging="360"/>
      </w:pPr>
      <w:rPr>
        <w:rFonts w:ascii="Symbol" w:hAnsi="Symbol" w:hint="default"/>
      </w:rPr>
    </w:lvl>
    <w:lvl w:ilvl="1" w:tplc="E7BCC68C">
      <w:start w:val="1"/>
      <w:numFmt w:val="bullet"/>
      <w:lvlText w:val="o"/>
      <w:lvlJc w:val="left"/>
      <w:pPr>
        <w:ind w:left="1440" w:hanging="360"/>
      </w:pPr>
      <w:rPr>
        <w:rFonts w:ascii="Courier New" w:hAnsi="Courier New" w:hint="default"/>
      </w:rPr>
    </w:lvl>
    <w:lvl w:ilvl="2" w:tplc="6DF005BE">
      <w:start w:val="1"/>
      <w:numFmt w:val="bullet"/>
      <w:lvlText w:val=""/>
      <w:lvlJc w:val="left"/>
      <w:pPr>
        <w:ind w:left="2160" w:hanging="360"/>
      </w:pPr>
      <w:rPr>
        <w:rFonts w:ascii="Wingdings" w:hAnsi="Wingdings" w:hint="default"/>
      </w:rPr>
    </w:lvl>
    <w:lvl w:ilvl="3" w:tplc="AE0EDEFC">
      <w:start w:val="1"/>
      <w:numFmt w:val="bullet"/>
      <w:lvlText w:val=""/>
      <w:lvlJc w:val="left"/>
      <w:pPr>
        <w:ind w:left="2880" w:hanging="360"/>
      </w:pPr>
      <w:rPr>
        <w:rFonts w:ascii="Symbol" w:hAnsi="Symbol" w:hint="default"/>
      </w:rPr>
    </w:lvl>
    <w:lvl w:ilvl="4" w:tplc="235038DA">
      <w:start w:val="1"/>
      <w:numFmt w:val="bullet"/>
      <w:lvlText w:val="o"/>
      <w:lvlJc w:val="left"/>
      <w:pPr>
        <w:ind w:left="3600" w:hanging="360"/>
      </w:pPr>
      <w:rPr>
        <w:rFonts w:ascii="Courier New" w:hAnsi="Courier New" w:hint="default"/>
      </w:rPr>
    </w:lvl>
    <w:lvl w:ilvl="5" w:tplc="4DF4E036">
      <w:start w:val="1"/>
      <w:numFmt w:val="bullet"/>
      <w:lvlText w:val=""/>
      <w:lvlJc w:val="left"/>
      <w:pPr>
        <w:ind w:left="4320" w:hanging="360"/>
      </w:pPr>
      <w:rPr>
        <w:rFonts w:ascii="Wingdings" w:hAnsi="Wingdings" w:hint="default"/>
      </w:rPr>
    </w:lvl>
    <w:lvl w:ilvl="6" w:tplc="1EEE1962">
      <w:start w:val="1"/>
      <w:numFmt w:val="bullet"/>
      <w:lvlText w:val=""/>
      <w:lvlJc w:val="left"/>
      <w:pPr>
        <w:ind w:left="5040" w:hanging="360"/>
      </w:pPr>
      <w:rPr>
        <w:rFonts w:ascii="Symbol" w:hAnsi="Symbol" w:hint="default"/>
      </w:rPr>
    </w:lvl>
    <w:lvl w:ilvl="7" w:tplc="0C1626A0">
      <w:start w:val="1"/>
      <w:numFmt w:val="bullet"/>
      <w:lvlText w:val="o"/>
      <w:lvlJc w:val="left"/>
      <w:pPr>
        <w:ind w:left="5760" w:hanging="360"/>
      </w:pPr>
      <w:rPr>
        <w:rFonts w:ascii="Courier New" w:hAnsi="Courier New" w:hint="default"/>
      </w:rPr>
    </w:lvl>
    <w:lvl w:ilvl="8" w:tplc="12AE0DC8">
      <w:start w:val="1"/>
      <w:numFmt w:val="bullet"/>
      <w:lvlText w:val=""/>
      <w:lvlJc w:val="left"/>
      <w:pPr>
        <w:ind w:left="6480" w:hanging="360"/>
      </w:pPr>
      <w:rPr>
        <w:rFonts w:ascii="Wingdings" w:hAnsi="Wingdings" w:hint="default"/>
      </w:rPr>
    </w:lvl>
  </w:abstractNum>
  <w:abstractNum w:abstractNumId="8" w15:restartNumberingAfterBreak="0">
    <w:nsid w:val="2F800FB0"/>
    <w:multiLevelType w:val="hybridMultilevel"/>
    <w:tmpl w:val="5BECC9BE"/>
    <w:lvl w:ilvl="0" w:tplc="14F43900">
      <w:start w:val="1"/>
      <w:numFmt w:val="bullet"/>
      <w:lvlText w:val=""/>
      <w:lvlJc w:val="left"/>
      <w:pPr>
        <w:ind w:left="720" w:hanging="360"/>
      </w:pPr>
      <w:rPr>
        <w:rFonts w:ascii="Symbol" w:hAnsi="Symbol" w:hint="default"/>
      </w:rPr>
    </w:lvl>
    <w:lvl w:ilvl="1" w:tplc="04E65E34">
      <w:start w:val="1"/>
      <w:numFmt w:val="bullet"/>
      <w:lvlText w:val="o"/>
      <w:lvlJc w:val="left"/>
      <w:pPr>
        <w:ind w:left="1440" w:hanging="360"/>
      </w:pPr>
      <w:rPr>
        <w:rFonts w:ascii="Courier New" w:hAnsi="Courier New" w:hint="default"/>
      </w:rPr>
    </w:lvl>
    <w:lvl w:ilvl="2" w:tplc="4E72BF2C">
      <w:start w:val="1"/>
      <w:numFmt w:val="bullet"/>
      <w:lvlText w:val=""/>
      <w:lvlJc w:val="left"/>
      <w:pPr>
        <w:ind w:left="2160" w:hanging="360"/>
      </w:pPr>
      <w:rPr>
        <w:rFonts w:ascii="Wingdings" w:hAnsi="Wingdings" w:hint="default"/>
      </w:rPr>
    </w:lvl>
    <w:lvl w:ilvl="3" w:tplc="7E809D24">
      <w:start w:val="1"/>
      <w:numFmt w:val="bullet"/>
      <w:lvlText w:val=""/>
      <w:lvlJc w:val="left"/>
      <w:pPr>
        <w:ind w:left="2880" w:hanging="360"/>
      </w:pPr>
      <w:rPr>
        <w:rFonts w:ascii="Symbol" w:hAnsi="Symbol" w:hint="default"/>
      </w:rPr>
    </w:lvl>
    <w:lvl w:ilvl="4" w:tplc="05E2263A">
      <w:start w:val="1"/>
      <w:numFmt w:val="bullet"/>
      <w:lvlText w:val="o"/>
      <w:lvlJc w:val="left"/>
      <w:pPr>
        <w:ind w:left="3600" w:hanging="360"/>
      </w:pPr>
      <w:rPr>
        <w:rFonts w:ascii="Courier New" w:hAnsi="Courier New" w:hint="default"/>
      </w:rPr>
    </w:lvl>
    <w:lvl w:ilvl="5" w:tplc="ECFC4746">
      <w:start w:val="1"/>
      <w:numFmt w:val="bullet"/>
      <w:lvlText w:val=""/>
      <w:lvlJc w:val="left"/>
      <w:pPr>
        <w:ind w:left="4320" w:hanging="360"/>
      </w:pPr>
      <w:rPr>
        <w:rFonts w:ascii="Wingdings" w:hAnsi="Wingdings" w:hint="default"/>
      </w:rPr>
    </w:lvl>
    <w:lvl w:ilvl="6" w:tplc="A80C7DA0">
      <w:start w:val="1"/>
      <w:numFmt w:val="bullet"/>
      <w:lvlText w:val=""/>
      <w:lvlJc w:val="left"/>
      <w:pPr>
        <w:ind w:left="5040" w:hanging="360"/>
      </w:pPr>
      <w:rPr>
        <w:rFonts w:ascii="Symbol" w:hAnsi="Symbol" w:hint="default"/>
      </w:rPr>
    </w:lvl>
    <w:lvl w:ilvl="7" w:tplc="C5F497C6">
      <w:start w:val="1"/>
      <w:numFmt w:val="bullet"/>
      <w:lvlText w:val="o"/>
      <w:lvlJc w:val="left"/>
      <w:pPr>
        <w:ind w:left="5760" w:hanging="360"/>
      </w:pPr>
      <w:rPr>
        <w:rFonts w:ascii="Courier New" w:hAnsi="Courier New" w:hint="default"/>
      </w:rPr>
    </w:lvl>
    <w:lvl w:ilvl="8" w:tplc="115C4616">
      <w:start w:val="1"/>
      <w:numFmt w:val="bullet"/>
      <w:lvlText w:val=""/>
      <w:lvlJc w:val="left"/>
      <w:pPr>
        <w:ind w:left="6480" w:hanging="360"/>
      </w:pPr>
      <w:rPr>
        <w:rFonts w:ascii="Wingdings" w:hAnsi="Wingdings" w:hint="default"/>
      </w:rPr>
    </w:lvl>
  </w:abstractNum>
  <w:abstractNum w:abstractNumId="9" w15:restartNumberingAfterBreak="0">
    <w:nsid w:val="344C7796"/>
    <w:multiLevelType w:val="hybridMultilevel"/>
    <w:tmpl w:val="A9F8315C"/>
    <w:lvl w:ilvl="0" w:tplc="E9B441E8">
      <w:start w:val="1"/>
      <w:numFmt w:val="decimal"/>
      <w:lvlText w:val="%1."/>
      <w:lvlJc w:val="left"/>
      <w:pPr>
        <w:ind w:left="720" w:hanging="360"/>
      </w:pPr>
    </w:lvl>
    <w:lvl w:ilvl="1" w:tplc="C2421738">
      <w:start w:val="1"/>
      <w:numFmt w:val="lowerLetter"/>
      <w:lvlText w:val="%2."/>
      <w:lvlJc w:val="left"/>
      <w:pPr>
        <w:ind w:left="1440" w:hanging="360"/>
      </w:pPr>
    </w:lvl>
    <w:lvl w:ilvl="2" w:tplc="3A868CD6">
      <w:start w:val="1"/>
      <w:numFmt w:val="lowerRoman"/>
      <w:lvlText w:val="%3."/>
      <w:lvlJc w:val="right"/>
      <w:pPr>
        <w:ind w:left="2160" w:hanging="180"/>
      </w:pPr>
    </w:lvl>
    <w:lvl w:ilvl="3" w:tplc="994EDB32">
      <w:start w:val="1"/>
      <w:numFmt w:val="decimal"/>
      <w:lvlText w:val="%4."/>
      <w:lvlJc w:val="left"/>
      <w:pPr>
        <w:ind w:left="2880" w:hanging="360"/>
      </w:pPr>
    </w:lvl>
    <w:lvl w:ilvl="4" w:tplc="991E85FC">
      <w:start w:val="1"/>
      <w:numFmt w:val="lowerLetter"/>
      <w:lvlText w:val="%5."/>
      <w:lvlJc w:val="left"/>
      <w:pPr>
        <w:ind w:left="3600" w:hanging="360"/>
      </w:pPr>
    </w:lvl>
    <w:lvl w:ilvl="5" w:tplc="9B4ADDB4">
      <w:start w:val="1"/>
      <w:numFmt w:val="lowerRoman"/>
      <w:lvlText w:val="%6."/>
      <w:lvlJc w:val="right"/>
      <w:pPr>
        <w:ind w:left="4320" w:hanging="180"/>
      </w:pPr>
    </w:lvl>
    <w:lvl w:ilvl="6" w:tplc="DB20F618">
      <w:start w:val="1"/>
      <w:numFmt w:val="decimal"/>
      <w:lvlText w:val="%7."/>
      <w:lvlJc w:val="left"/>
      <w:pPr>
        <w:ind w:left="5040" w:hanging="360"/>
      </w:pPr>
    </w:lvl>
    <w:lvl w:ilvl="7" w:tplc="8E08563C">
      <w:start w:val="1"/>
      <w:numFmt w:val="lowerLetter"/>
      <w:lvlText w:val="%8."/>
      <w:lvlJc w:val="left"/>
      <w:pPr>
        <w:ind w:left="5760" w:hanging="360"/>
      </w:pPr>
    </w:lvl>
    <w:lvl w:ilvl="8" w:tplc="C59A4D84">
      <w:start w:val="1"/>
      <w:numFmt w:val="lowerRoman"/>
      <w:lvlText w:val="%9."/>
      <w:lvlJc w:val="right"/>
      <w:pPr>
        <w:ind w:left="6480" w:hanging="180"/>
      </w:pPr>
    </w:lvl>
  </w:abstractNum>
  <w:abstractNum w:abstractNumId="10" w15:restartNumberingAfterBreak="0">
    <w:nsid w:val="35182D37"/>
    <w:multiLevelType w:val="hybridMultilevel"/>
    <w:tmpl w:val="D464B53C"/>
    <w:lvl w:ilvl="0" w:tplc="2F1CC21A">
      <w:start w:val="1"/>
      <w:numFmt w:val="decimal"/>
      <w:lvlText w:val="%1."/>
      <w:lvlJc w:val="left"/>
      <w:pPr>
        <w:ind w:left="720" w:hanging="360"/>
      </w:pPr>
    </w:lvl>
    <w:lvl w:ilvl="1" w:tplc="08E20750">
      <w:start w:val="1"/>
      <w:numFmt w:val="lowerLetter"/>
      <w:lvlText w:val="%2."/>
      <w:lvlJc w:val="left"/>
      <w:pPr>
        <w:ind w:left="1440" w:hanging="360"/>
      </w:pPr>
    </w:lvl>
    <w:lvl w:ilvl="2" w:tplc="C74C2178">
      <w:start w:val="1"/>
      <w:numFmt w:val="lowerRoman"/>
      <w:lvlText w:val="%3."/>
      <w:lvlJc w:val="right"/>
      <w:pPr>
        <w:ind w:left="2160" w:hanging="180"/>
      </w:pPr>
    </w:lvl>
    <w:lvl w:ilvl="3" w:tplc="763A337E">
      <w:start w:val="1"/>
      <w:numFmt w:val="decimal"/>
      <w:lvlText w:val="%4."/>
      <w:lvlJc w:val="left"/>
      <w:pPr>
        <w:ind w:left="2880" w:hanging="360"/>
      </w:pPr>
    </w:lvl>
    <w:lvl w:ilvl="4" w:tplc="EEE2ECA2">
      <w:start w:val="1"/>
      <w:numFmt w:val="lowerLetter"/>
      <w:lvlText w:val="%5."/>
      <w:lvlJc w:val="left"/>
      <w:pPr>
        <w:ind w:left="3600" w:hanging="360"/>
      </w:pPr>
    </w:lvl>
    <w:lvl w:ilvl="5" w:tplc="A0F0BD34">
      <w:start w:val="1"/>
      <w:numFmt w:val="lowerRoman"/>
      <w:lvlText w:val="%6."/>
      <w:lvlJc w:val="right"/>
      <w:pPr>
        <w:ind w:left="4320" w:hanging="180"/>
      </w:pPr>
    </w:lvl>
    <w:lvl w:ilvl="6" w:tplc="249275BE">
      <w:start w:val="1"/>
      <w:numFmt w:val="decimal"/>
      <w:lvlText w:val="%7."/>
      <w:lvlJc w:val="left"/>
      <w:pPr>
        <w:ind w:left="5040" w:hanging="360"/>
      </w:pPr>
    </w:lvl>
    <w:lvl w:ilvl="7" w:tplc="654C7B9C">
      <w:start w:val="1"/>
      <w:numFmt w:val="lowerLetter"/>
      <w:lvlText w:val="%8."/>
      <w:lvlJc w:val="left"/>
      <w:pPr>
        <w:ind w:left="5760" w:hanging="360"/>
      </w:pPr>
    </w:lvl>
    <w:lvl w:ilvl="8" w:tplc="805CBC24">
      <w:start w:val="1"/>
      <w:numFmt w:val="lowerRoman"/>
      <w:lvlText w:val="%9."/>
      <w:lvlJc w:val="right"/>
      <w:pPr>
        <w:ind w:left="6480" w:hanging="180"/>
      </w:pPr>
    </w:lvl>
  </w:abstractNum>
  <w:abstractNum w:abstractNumId="11" w15:restartNumberingAfterBreak="0">
    <w:nsid w:val="39BF75AC"/>
    <w:multiLevelType w:val="hybridMultilevel"/>
    <w:tmpl w:val="83A602BA"/>
    <w:lvl w:ilvl="0" w:tplc="ECBA3A56">
      <w:start w:val="1"/>
      <w:numFmt w:val="bullet"/>
      <w:lvlText w:val=""/>
      <w:lvlJc w:val="left"/>
      <w:pPr>
        <w:ind w:left="720" w:hanging="360"/>
      </w:pPr>
      <w:rPr>
        <w:rFonts w:ascii="Symbol" w:hAnsi="Symbol" w:hint="default"/>
      </w:rPr>
    </w:lvl>
    <w:lvl w:ilvl="1" w:tplc="70E8DEDC">
      <w:start w:val="1"/>
      <w:numFmt w:val="bullet"/>
      <w:lvlText w:val="o"/>
      <w:lvlJc w:val="left"/>
      <w:pPr>
        <w:ind w:left="1440" w:hanging="360"/>
      </w:pPr>
      <w:rPr>
        <w:rFonts w:ascii="Courier New" w:hAnsi="Courier New" w:hint="default"/>
      </w:rPr>
    </w:lvl>
    <w:lvl w:ilvl="2" w:tplc="2DC8BE14">
      <w:start w:val="1"/>
      <w:numFmt w:val="bullet"/>
      <w:lvlText w:val=""/>
      <w:lvlJc w:val="left"/>
      <w:pPr>
        <w:ind w:left="2160" w:hanging="360"/>
      </w:pPr>
      <w:rPr>
        <w:rFonts w:ascii="Wingdings" w:hAnsi="Wingdings" w:hint="default"/>
      </w:rPr>
    </w:lvl>
    <w:lvl w:ilvl="3" w:tplc="95F67F9A">
      <w:start w:val="1"/>
      <w:numFmt w:val="bullet"/>
      <w:lvlText w:val=""/>
      <w:lvlJc w:val="left"/>
      <w:pPr>
        <w:ind w:left="2880" w:hanging="360"/>
      </w:pPr>
      <w:rPr>
        <w:rFonts w:ascii="Symbol" w:hAnsi="Symbol" w:hint="default"/>
      </w:rPr>
    </w:lvl>
    <w:lvl w:ilvl="4" w:tplc="C5B8DDFA">
      <w:start w:val="1"/>
      <w:numFmt w:val="bullet"/>
      <w:lvlText w:val="o"/>
      <w:lvlJc w:val="left"/>
      <w:pPr>
        <w:ind w:left="3600" w:hanging="360"/>
      </w:pPr>
      <w:rPr>
        <w:rFonts w:ascii="Courier New" w:hAnsi="Courier New" w:hint="default"/>
      </w:rPr>
    </w:lvl>
    <w:lvl w:ilvl="5" w:tplc="5394D29A">
      <w:start w:val="1"/>
      <w:numFmt w:val="bullet"/>
      <w:lvlText w:val=""/>
      <w:lvlJc w:val="left"/>
      <w:pPr>
        <w:ind w:left="4320" w:hanging="360"/>
      </w:pPr>
      <w:rPr>
        <w:rFonts w:ascii="Wingdings" w:hAnsi="Wingdings" w:hint="default"/>
      </w:rPr>
    </w:lvl>
    <w:lvl w:ilvl="6" w:tplc="EBACAC56">
      <w:start w:val="1"/>
      <w:numFmt w:val="bullet"/>
      <w:lvlText w:val=""/>
      <w:lvlJc w:val="left"/>
      <w:pPr>
        <w:ind w:left="5040" w:hanging="360"/>
      </w:pPr>
      <w:rPr>
        <w:rFonts w:ascii="Symbol" w:hAnsi="Symbol" w:hint="default"/>
      </w:rPr>
    </w:lvl>
    <w:lvl w:ilvl="7" w:tplc="EE2A4258">
      <w:start w:val="1"/>
      <w:numFmt w:val="bullet"/>
      <w:lvlText w:val="o"/>
      <w:lvlJc w:val="left"/>
      <w:pPr>
        <w:ind w:left="5760" w:hanging="360"/>
      </w:pPr>
      <w:rPr>
        <w:rFonts w:ascii="Courier New" w:hAnsi="Courier New" w:hint="default"/>
      </w:rPr>
    </w:lvl>
    <w:lvl w:ilvl="8" w:tplc="A02429EA">
      <w:start w:val="1"/>
      <w:numFmt w:val="bullet"/>
      <w:lvlText w:val=""/>
      <w:lvlJc w:val="left"/>
      <w:pPr>
        <w:ind w:left="6480" w:hanging="360"/>
      </w:pPr>
      <w:rPr>
        <w:rFonts w:ascii="Wingdings" w:hAnsi="Wingdings" w:hint="default"/>
      </w:rPr>
    </w:lvl>
  </w:abstractNum>
  <w:abstractNum w:abstractNumId="12" w15:restartNumberingAfterBreak="0">
    <w:nsid w:val="3F7A6517"/>
    <w:multiLevelType w:val="hybridMultilevel"/>
    <w:tmpl w:val="8966AB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A8229B"/>
    <w:multiLevelType w:val="hybridMultilevel"/>
    <w:tmpl w:val="339EA12E"/>
    <w:lvl w:ilvl="0" w:tplc="F7C260A6">
      <w:start w:val="1"/>
      <w:numFmt w:val="bullet"/>
      <w:lvlText w:val=""/>
      <w:lvlJc w:val="left"/>
      <w:pPr>
        <w:ind w:left="720" w:hanging="360"/>
      </w:pPr>
      <w:rPr>
        <w:rFonts w:ascii="Symbol" w:hAnsi="Symbol" w:hint="default"/>
      </w:rPr>
    </w:lvl>
    <w:lvl w:ilvl="1" w:tplc="52224026">
      <w:start w:val="1"/>
      <w:numFmt w:val="bullet"/>
      <w:lvlText w:val="o"/>
      <w:lvlJc w:val="left"/>
      <w:pPr>
        <w:ind w:left="1440" w:hanging="360"/>
      </w:pPr>
      <w:rPr>
        <w:rFonts w:ascii="Courier New" w:hAnsi="Courier New" w:hint="default"/>
      </w:rPr>
    </w:lvl>
    <w:lvl w:ilvl="2" w:tplc="792286D6">
      <w:start w:val="1"/>
      <w:numFmt w:val="bullet"/>
      <w:lvlText w:val=""/>
      <w:lvlJc w:val="left"/>
      <w:pPr>
        <w:ind w:left="2160" w:hanging="360"/>
      </w:pPr>
      <w:rPr>
        <w:rFonts w:ascii="Wingdings" w:hAnsi="Wingdings" w:hint="default"/>
      </w:rPr>
    </w:lvl>
    <w:lvl w:ilvl="3" w:tplc="3CB44328">
      <w:start w:val="1"/>
      <w:numFmt w:val="bullet"/>
      <w:lvlText w:val=""/>
      <w:lvlJc w:val="left"/>
      <w:pPr>
        <w:ind w:left="2880" w:hanging="360"/>
      </w:pPr>
      <w:rPr>
        <w:rFonts w:ascii="Symbol" w:hAnsi="Symbol" w:hint="default"/>
      </w:rPr>
    </w:lvl>
    <w:lvl w:ilvl="4" w:tplc="D64844C6">
      <w:start w:val="1"/>
      <w:numFmt w:val="bullet"/>
      <w:lvlText w:val="o"/>
      <w:lvlJc w:val="left"/>
      <w:pPr>
        <w:ind w:left="3600" w:hanging="360"/>
      </w:pPr>
      <w:rPr>
        <w:rFonts w:ascii="Courier New" w:hAnsi="Courier New" w:hint="default"/>
      </w:rPr>
    </w:lvl>
    <w:lvl w:ilvl="5" w:tplc="F2345C58">
      <w:start w:val="1"/>
      <w:numFmt w:val="bullet"/>
      <w:lvlText w:val=""/>
      <w:lvlJc w:val="left"/>
      <w:pPr>
        <w:ind w:left="4320" w:hanging="360"/>
      </w:pPr>
      <w:rPr>
        <w:rFonts w:ascii="Wingdings" w:hAnsi="Wingdings" w:hint="default"/>
      </w:rPr>
    </w:lvl>
    <w:lvl w:ilvl="6" w:tplc="0D280FA2">
      <w:start w:val="1"/>
      <w:numFmt w:val="bullet"/>
      <w:lvlText w:val=""/>
      <w:lvlJc w:val="left"/>
      <w:pPr>
        <w:ind w:left="5040" w:hanging="360"/>
      </w:pPr>
      <w:rPr>
        <w:rFonts w:ascii="Symbol" w:hAnsi="Symbol" w:hint="default"/>
      </w:rPr>
    </w:lvl>
    <w:lvl w:ilvl="7" w:tplc="217635C8">
      <w:start w:val="1"/>
      <w:numFmt w:val="bullet"/>
      <w:lvlText w:val="o"/>
      <w:lvlJc w:val="left"/>
      <w:pPr>
        <w:ind w:left="5760" w:hanging="360"/>
      </w:pPr>
      <w:rPr>
        <w:rFonts w:ascii="Courier New" w:hAnsi="Courier New" w:hint="default"/>
      </w:rPr>
    </w:lvl>
    <w:lvl w:ilvl="8" w:tplc="8A3A75B2">
      <w:start w:val="1"/>
      <w:numFmt w:val="bullet"/>
      <w:lvlText w:val=""/>
      <w:lvlJc w:val="left"/>
      <w:pPr>
        <w:ind w:left="6480" w:hanging="360"/>
      </w:pPr>
      <w:rPr>
        <w:rFonts w:ascii="Wingdings" w:hAnsi="Wingdings" w:hint="default"/>
      </w:rPr>
    </w:lvl>
  </w:abstractNum>
  <w:abstractNum w:abstractNumId="14" w15:restartNumberingAfterBreak="0">
    <w:nsid w:val="42AC121F"/>
    <w:multiLevelType w:val="hybridMultilevel"/>
    <w:tmpl w:val="D6CE37DC"/>
    <w:lvl w:ilvl="0" w:tplc="40E620F2">
      <w:start w:val="1"/>
      <w:numFmt w:val="lowerLetter"/>
      <w:lvlText w:val="(%1)"/>
      <w:lvlJc w:val="left"/>
      <w:pPr>
        <w:ind w:left="17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5C789C">
      <w:start w:val="1"/>
      <w:numFmt w:val="lowerLetter"/>
      <w:lvlText w:val="%2"/>
      <w:lvlJc w:val="left"/>
      <w:pPr>
        <w:ind w:left="1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7685C8">
      <w:start w:val="1"/>
      <w:numFmt w:val="lowerRoman"/>
      <w:lvlText w:val="%3"/>
      <w:lvlJc w:val="left"/>
      <w:pPr>
        <w:ind w:left="24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CE64BE">
      <w:start w:val="1"/>
      <w:numFmt w:val="decimal"/>
      <w:lvlText w:val="%4"/>
      <w:lvlJc w:val="left"/>
      <w:pPr>
        <w:ind w:left="32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0C6FF6">
      <w:start w:val="1"/>
      <w:numFmt w:val="lowerLetter"/>
      <w:lvlText w:val="%5"/>
      <w:lvlJc w:val="left"/>
      <w:pPr>
        <w:ind w:left="39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C46464">
      <w:start w:val="1"/>
      <w:numFmt w:val="lowerRoman"/>
      <w:lvlText w:val="%6"/>
      <w:lvlJc w:val="left"/>
      <w:pPr>
        <w:ind w:left="4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7E6196">
      <w:start w:val="1"/>
      <w:numFmt w:val="decimal"/>
      <w:lvlText w:val="%7"/>
      <w:lvlJc w:val="left"/>
      <w:pPr>
        <w:ind w:left="53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BCBA8C">
      <w:start w:val="1"/>
      <w:numFmt w:val="lowerLetter"/>
      <w:lvlText w:val="%8"/>
      <w:lvlJc w:val="left"/>
      <w:pPr>
        <w:ind w:left="6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98EE5C">
      <w:start w:val="1"/>
      <w:numFmt w:val="lowerRoman"/>
      <w:lvlText w:val="%9"/>
      <w:lvlJc w:val="left"/>
      <w:pPr>
        <w:ind w:left="6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992D5EA"/>
    <w:multiLevelType w:val="hybridMultilevel"/>
    <w:tmpl w:val="F030F75A"/>
    <w:lvl w:ilvl="0" w:tplc="C1F45F84">
      <w:start w:val="1"/>
      <w:numFmt w:val="bullet"/>
      <w:lvlText w:val=""/>
      <w:lvlJc w:val="left"/>
      <w:pPr>
        <w:ind w:left="720" w:hanging="360"/>
      </w:pPr>
      <w:rPr>
        <w:rFonts w:ascii="Symbol" w:hAnsi="Symbol" w:hint="default"/>
      </w:rPr>
    </w:lvl>
    <w:lvl w:ilvl="1" w:tplc="A04ADD78">
      <w:start w:val="1"/>
      <w:numFmt w:val="bullet"/>
      <w:lvlText w:val="o"/>
      <w:lvlJc w:val="left"/>
      <w:pPr>
        <w:ind w:left="1440" w:hanging="360"/>
      </w:pPr>
      <w:rPr>
        <w:rFonts w:ascii="Courier New" w:hAnsi="Courier New" w:hint="default"/>
      </w:rPr>
    </w:lvl>
    <w:lvl w:ilvl="2" w:tplc="FB6E3466">
      <w:start w:val="1"/>
      <w:numFmt w:val="bullet"/>
      <w:lvlText w:val=""/>
      <w:lvlJc w:val="left"/>
      <w:pPr>
        <w:ind w:left="2160" w:hanging="360"/>
      </w:pPr>
      <w:rPr>
        <w:rFonts w:ascii="Wingdings" w:hAnsi="Wingdings" w:hint="default"/>
      </w:rPr>
    </w:lvl>
    <w:lvl w:ilvl="3" w:tplc="95F69686">
      <w:start w:val="1"/>
      <w:numFmt w:val="bullet"/>
      <w:lvlText w:val=""/>
      <w:lvlJc w:val="left"/>
      <w:pPr>
        <w:ind w:left="2880" w:hanging="360"/>
      </w:pPr>
      <w:rPr>
        <w:rFonts w:ascii="Symbol" w:hAnsi="Symbol" w:hint="default"/>
      </w:rPr>
    </w:lvl>
    <w:lvl w:ilvl="4" w:tplc="030C3CBE">
      <w:start w:val="1"/>
      <w:numFmt w:val="bullet"/>
      <w:lvlText w:val="o"/>
      <w:lvlJc w:val="left"/>
      <w:pPr>
        <w:ind w:left="3600" w:hanging="360"/>
      </w:pPr>
      <w:rPr>
        <w:rFonts w:ascii="Courier New" w:hAnsi="Courier New" w:hint="default"/>
      </w:rPr>
    </w:lvl>
    <w:lvl w:ilvl="5" w:tplc="A8DA2B9A">
      <w:start w:val="1"/>
      <w:numFmt w:val="bullet"/>
      <w:lvlText w:val=""/>
      <w:lvlJc w:val="left"/>
      <w:pPr>
        <w:ind w:left="4320" w:hanging="360"/>
      </w:pPr>
      <w:rPr>
        <w:rFonts w:ascii="Wingdings" w:hAnsi="Wingdings" w:hint="default"/>
      </w:rPr>
    </w:lvl>
    <w:lvl w:ilvl="6" w:tplc="2F4A8256">
      <w:start w:val="1"/>
      <w:numFmt w:val="bullet"/>
      <w:lvlText w:val=""/>
      <w:lvlJc w:val="left"/>
      <w:pPr>
        <w:ind w:left="5040" w:hanging="360"/>
      </w:pPr>
      <w:rPr>
        <w:rFonts w:ascii="Symbol" w:hAnsi="Symbol" w:hint="default"/>
      </w:rPr>
    </w:lvl>
    <w:lvl w:ilvl="7" w:tplc="90082FA0">
      <w:start w:val="1"/>
      <w:numFmt w:val="bullet"/>
      <w:lvlText w:val="o"/>
      <w:lvlJc w:val="left"/>
      <w:pPr>
        <w:ind w:left="5760" w:hanging="360"/>
      </w:pPr>
      <w:rPr>
        <w:rFonts w:ascii="Courier New" w:hAnsi="Courier New" w:hint="default"/>
      </w:rPr>
    </w:lvl>
    <w:lvl w:ilvl="8" w:tplc="6C7C5F34">
      <w:start w:val="1"/>
      <w:numFmt w:val="bullet"/>
      <w:lvlText w:val=""/>
      <w:lvlJc w:val="left"/>
      <w:pPr>
        <w:ind w:left="6480" w:hanging="360"/>
      </w:pPr>
      <w:rPr>
        <w:rFonts w:ascii="Wingdings" w:hAnsi="Wingdings" w:hint="default"/>
      </w:rPr>
    </w:lvl>
  </w:abstractNum>
  <w:abstractNum w:abstractNumId="16" w15:restartNumberingAfterBreak="0">
    <w:nsid w:val="55BFDF49"/>
    <w:multiLevelType w:val="hybridMultilevel"/>
    <w:tmpl w:val="C1A8C4B4"/>
    <w:lvl w:ilvl="0" w:tplc="B59247CC">
      <w:start w:val="1"/>
      <w:numFmt w:val="decimal"/>
      <w:lvlText w:val="%1."/>
      <w:lvlJc w:val="left"/>
      <w:pPr>
        <w:ind w:left="720" w:hanging="360"/>
      </w:pPr>
    </w:lvl>
    <w:lvl w:ilvl="1" w:tplc="ECE81024">
      <w:start w:val="1"/>
      <w:numFmt w:val="lowerLetter"/>
      <w:lvlText w:val="%2."/>
      <w:lvlJc w:val="left"/>
      <w:pPr>
        <w:ind w:left="1440" w:hanging="360"/>
      </w:pPr>
    </w:lvl>
    <w:lvl w:ilvl="2" w:tplc="96A241F2">
      <w:start w:val="1"/>
      <w:numFmt w:val="lowerRoman"/>
      <w:lvlText w:val="%3."/>
      <w:lvlJc w:val="right"/>
      <w:pPr>
        <w:ind w:left="2160" w:hanging="180"/>
      </w:pPr>
    </w:lvl>
    <w:lvl w:ilvl="3" w:tplc="52D886A8">
      <w:start w:val="1"/>
      <w:numFmt w:val="decimal"/>
      <w:lvlText w:val="%4."/>
      <w:lvlJc w:val="left"/>
      <w:pPr>
        <w:ind w:left="2880" w:hanging="360"/>
      </w:pPr>
    </w:lvl>
    <w:lvl w:ilvl="4" w:tplc="3A7AC818">
      <w:start w:val="1"/>
      <w:numFmt w:val="lowerLetter"/>
      <w:lvlText w:val="%5."/>
      <w:lvlJc w:val="left"/>
      <w:pPr>
        <w:ind w:left="3600" w:hanging="360"/>
      </w:pPr>
    </w:lvl>
    <w:lvl w:ilvl="5" w:tplc="F4E0C842">
      <w:start w:val="1"/>
      <w:numFmt w:val="lowerRoman"/>
      <w:lvlText w:val="%6."/>
      <w:lvlJc w:val="right"/>
      <w:pPr>
        <w:ind w:left="4320" w:hanging="180"/>
      </w:pPr>
    </w:lvl>
    <w:lvl w:ilvl="6" w:tplc="3C26DFC8">
      <w:start w:val="1"/>
      <w:numFmt w:val="decimal"/>
      <w:lvlText w:val="%7."/>
      <w:lvlJc w:val="left"/>
      <w:pPr>
        <w:ind w:left="5040" w:hanging="360"/>
      </w:pPr>
    </w:lvl>
    <w:lvl w:ilvl="7" w:tplc="A0EAB778">
      <w:start w:val="1"/>
      <w:numFmt w:val="lowerLetter"/>
      <w:lvlText w:val="%8."/>
      <w:lvlJc w:val="left"/>
      <w:pPr>
        <w:ind w:left="5760" w:hanging="360"/>
      </w:pPr>
    </w:lvl>
    <w:lvl w:ilvl="8" w:tplc="26FAC97E">
      <w:start w:val="1"/>
      <w:numFmt w:val="lowerRoman"/>
      <w:lvlText w:val="%9."/>
      <w:lvlJc w:val="right"/>
      <w:pPr>
        <w:ind w:left="6480" w:hanging="180"/>
      </w:pPr>
    </w:lvl>
  </w:abstractNum>
  <w:abstractNum w:abstractNumId="17" w15:restartNumberingAfterBreak="0">
    <w:nsid w:val="5737281A"/>
    <w:multiLevelType w:val="hybridMultilevel"/>
    <w:tmpl w:val="B48E414C"/>
    <w:lvl w:ilvl="0" w:tplc="909295FC">
      <w:start w:val="1"/>
      <w:numFmt w:val="bullet"/>
      <w:lvlText w:val=""/>
      <w:lvlJc w:val="left"/>
      <w:pPr>
        <w:ind w:left="720" w:hanging="360"/>
      </w:pPr>
      <w:rPr>
        <w:rFonts w:ascii="Symbol" w:hAnsi="Symbol" w:hint="default"/>
      </w:rPr>
    </w:lvl>
    <w:lvl w:ilvl="1" w:tplc="9078ECAA">
      <w:start w:val="1"/>
      <w:numFmt w:val="bullet"/>
      <w:lvlText w:val="o"/>
      <w:lvlJc w:val="left"/>
      <w:pPr>
        <w:ind w:left="1440" w:hanging="360"/>
      </w:pPr>
      <w:rPr>
        <w:rFonts w:ascii="Courier New" w:hAnsi="Courier New" w:hint="default"/>
      </w:rPr>
    </w:lvl>
    <w:lvl w:ilvl="2" w:tplc="E64CB04E">
      <w:start w:val="1"/>
      <w:numFmt w:val="bullet"/>
      <w:lvlText w:val=""/>
      <w:lvlJc w:val="left"/>
      <w:pPr>
        <w:ind w:left="2160" w:hanging="360"/>
      </w:pPr>
      <w:rPr>
        <w:rFonts w:ascii="Wingdings" w:hAnsi="Wingdings" w:hint="default"/>
      </w:rPr>
    </w:lvl>
    <w:lvl w:ilvl="3" w:tplc="52723D84">
      <w:start w:val="1"/>
      <w:numFmt w:val="bullet"/>
      <w:lvlText w:val=""/>
      <w:lvlJc w:val="left"/>
      <w:pPr>
        <w:ind w:left="2880" w:hanging="360"/>
      </w:pPr>
      <w:rPr>
        <w:rFonts w:ascii="Symbol" w:hAnsi="Symbol" w:hint="default"/>
      </w:rPr>
    </w:lvl>
    <w:lvl w:ilvl="4" w:tplc="4C98D67C">
      <w:start w:val="1"/>
      <w:numFmt w:val="bullet"/>
      <w:lvlText w:val="o"/>
      <w:lvlJc w:val="left"/>
      <w:pPr>
        <w:ind w:left="3600" w:hanging="360"/>
      </w:pPr>
      <w:rPr>
        <w:rFonts w:ascii="Courier New" w:hAnsi="Courier New" w:hint="default"/>
      </w:rPr>
    </w:lvl>
    <w:lvl w:ilvl="5" w:tplc="DBF293B4">
      <w:start w:val="1"/>
      <w:numFmt w:val="bullet"/>
      <w:lvlText w:val=""/>
      <w:lvlJc w:val="left"/>
      <w:pPr>
        <w:ind w:left="4320" w:hanging="360"/>
      </w:pPr>
      <w:rPr>
        <w:rFonts w:ascii="Wingdings" w:hAnsi="Wingdings" w:hint="default"/>
      </w:rPr>
    </w:lvl>
    <w:lvl w:ilvl="6" w:tplc="018001D2">
      <w:start w:val="1"/>
      <w:numFmt w:val="bullet"/>
      <w:lvlText w:val=""/>
      <w:lvlJc w:val="left"/>
      <w:pPr>
        <w:ind w:left="5040" w:hanging="360"/>
      </w:pPr>
      <w:rPr>
        <w:rFonts w:ascii="Symbol" w:hAnsi="Symbol" w:hint="default"/>
      </w:rPr>
    </w:lvl>
    <w:lvl w:ilvl="7" w:tplc="1B887554">
      <w:start w:val="1"/>
      <w:numFmt w:val="bullet"/>
      <w:lvlText w:val="o"/>
      <w:lvlJc w:val="left"/>
      <w:pPr>
        <w:ind w:left="5760" w:hanging="360"/>
      </w:pPr>
      <w:rPr>
        <w:rFonts w:ascii="Courier New" w:hAnsi="Courier New" w:hint="default"/>
      </w:rPr>
    </w:lvl>
    <w:lvl w:ilvl="8" w:tplc="A73890C0">
      <w:start w:val="1"/>
      <w:numFmt w:val="bullet"/>
      <w:lvlText w:val=""/>
      <w:lvlJc w:val="left"/>
      <w:pPr>
        <w:ind w:left="6480" w:hanging="360"/>
      </w:pPr>
      <w:rPr>
        <w:rFonts w:ascii="Wingdings" w:hAnsi="Wingdings" w:hint="default"/>
      </w:rPr>
    </w:lvl>
  </w:abstractNum>
  <w:abstractNum w:abstractNumId="18" w15:restartNumberingAfterBreak="0">
    <w:nsid w:val="57CB1945"/>
    <w:multiLevelType w:val="hybridMultilevel"/>
    <w:tmpl w:val="41DCF7C2"/>
    <w:lvl w:ilvl="0" w:tplc="741AA1EC">
      <w:start w:val="1"/>
      <w:numFmt w:val="lowerLetter"/>
      <w:lvlText w:val="%1)"/>
      <w:lvlJc w:val="left"/>
      <w:pPr>
        <w:ind w:left="720" w:hanging="360"/>
      </w:pPr>
    </w:lvl>
    <w:lvl w:ilvl="1" w:tplc="4B789BB8">
      <w:start w:val="1"/>
      <w:numFmt w:val="lowerLetter"/>
      <w:lvlText w:val="%2."/>
      <w:lvlJc w:val="left"/>
      <w:pPr>
        <w:ind w:left="1440" w:hanging="360"/>
      </w:pPr>
    </w:lvl>
    <w:lvl w:ilvl="2" w:tplc="4BBCF8F8">
      <w:start w:val="1"/>
      <w:numFmt w:val="lowerRoman"/>
      <w:lvlText w:val="%3."/>
      <w:lvlJc w:val="right"/>
      <w:pPr>
        <w:ind w:left="2160" w:hanging="180"/>
      </w:pPr>
    </w:lvl>
    <w:lvl w:ilvl="3" w:tplc="E334C68E">
      <w:start w:val="1"/>
      <w:numFmt w:val="decimal"/>
      <w:lvlText w:val="%4."/>
      <w:lvlJc w:val="left"/>
      <w:pPr>
        <w:ind w:left="2880" w:hanging="360"/>
      </w:pPr>
    </w:lvl>
    <w:lvl w:ilvl="4" w:tplc="B96AADF0">
      <w:start w:val="1"/>
      <w:numFmt w:val="lowerLetter"/>
      <w:lvlText w:val="%5."/>
      <w:lvlJc w:val="left"/>
      <w:pPr>
        <w:ind w:left="3600" w:hanging="360"/>
      </w:pPr>
    </w:lvl>
    <w:lvl w:ilvl="5" w:tplc="546C0C78">
      <w:start w:val="1"/>
      <w:numFmt w:val="lowerRoman"/>
      <w:lvlText w:val="%6."/>
      <w:lvlJc w:val="right"/>
      <w:pPr>
        <w:ind w:left="4320" w:hanging="180"/>
      </w:pPr>
    </w:lvl>
    <w:lvl w:ilvl="6" w:tplc="ABDEE716">
      <w:start w:val="1"/>
      <w:numFmt w:val="decimal"/>
      <w:lvlText w:val="%7."/>
      <w:lvlJc w:val="left"/>
      <w:pPr>
        <w:ind w:left="5040" w:hanging="360"/>
      </w:pPr>
    </w:lvl>
    <w:lvl w:ilvl="7" w:tplc="BFE0B092">
      <w:start w:val="1"/>
      <w:numFmt w:val="lowerLetter"/>
      <w:lvlText w:val="%8."/>
      <w:lvlJc w:val="left"/>
      <w:pPr>
        <w:ind w:left="5760" w:hanging="360"/>
      </w:pPr>
    </w:lvl>
    <w:lvl w:ilvl="8" w:tplc="3CDC2D7C">
      <w:start w:val="1"/>
      <w:numFmt w:val="lowerRoman"/>
      <w:lvlText w:val="%9."/>
      <w:lvlJc w:val="right"/>
      <w:pPr>
        <w:ind w:left="6480" w:hanging="180"/>
      </w:pPr>
    </w:lvl>
  </w:abstractNum>
  <w:abstractNum w:abstractNumId="19" w15:restartNumberingAfterBreak="0">
    <w:nsid w:val="586F4A57"/>
    <w:multiLevelType w:val="hybridMultilevel"/>
    <w:tmpl w:val="95148ED0"/>
    <w:lvl w:ilvl="0" w:tplc="6324CC02">
      <w:start w:val="1"/>
      <w:numFmt w:val="bullet"/>
      <w:lvlText w:val=""/>
      <w:lvlJc w:val="left"/>
      <w:pPr>
        <w:ind w:left="720" w:hanging="360"/>
      </w:pPr>
      <w:rPr>
        <w:rFonts w:ascii="Symbol" w:hAnsi="Symbol" w:hint="default"/>
      </w:rPr>
    </w:lvl>
    <w:lvl w:ilvl="1" w:tplc="287C6BFE">
      <w:start w:val="1"/>
      <w:numFmt w:val="bullet"/>
      <w:lvlText w:val="o"/>
      <w:lvlJc w:val="left"/>
      <w:pPr>
        <w:ind w:left="1440" w:hanging="360"/>
      </w:pPr>
      <w:rPr>
        <w:rFonts w:ascii="Courier New" w:hAnsi="Courier New" w:hint="default"/>
      </w:rPr>
    </w:lvl>
    <w:lvl w:ilvl="2" w:tplc="602CFACC">
      <w:start w:val="1"/>
      <w:numFmt w:val="bullet"/>
      <w:lvlText w:val=""/>
      <w:lvlJc w:val="left"/>
      <w:pPr>
        <w:ind w:left="2160" w:hanging="360"/>
      </w:pPr>
      <w:rPr>
        <w:rFonts w:ascii="Wingdings" w:hAnsi="Wingdings" w:hint="default"/>
      </w:rPr>
    </w:lvl>
    <w:lvl w:ilvl="3" w:tplc="10D88C8C">
      <w:start w:val="1"/>
      <w:numFmt w:val="bullet"/>
      <w:lvlText w:val=""/>
      <w:lvlJc w:val="left"/>
      <w:pPr>
        <w:ind w:left="2880" w:hanging="360"/>
      </w:pPr>
      <w:rPr>
        <w:rFonts w:ascii="Symbol" w:hAnsi="Symbol" w:hint="default"/>
      </w:rPr>
    </w:lvl>
    <w:lvl w:ilvl="4" w:tplc="449226BA">
      <w:start w:val="1"/>
      <w:numFmt w:val="bullet"/>
      <w:lvlText w:val="o"/>
      <w:lvlJc w:val="left"/>
      <w:pPr>
        <w:ind w:left="3600" w:hanging="360"/>
      </w:pPr>
      <w:rPr>
        <w:rFonts w:ascii="Courier New" w:hAnsi="Courier New" w:hint="default"/>
      </w:rPr>
    </w:lvl>
    <w:lvl w:ilvl="5" w:tplc="FA22A7CE">
      <w:start w:val="1"/>
      <w:numFmt w:val="bullet"/>
      <w:lvlText w:val=""/>
      <w:lvlJc w:val="left"/>
      <w:pPr>
        <w:ind w:left="4320" w:hanging="360"/>
      </w:pPr>
      <w:rPr>
        <w:rFonts w:ascii="Wingdings" w:hAnsi="Wingdings" w:hint="default"/>
      </w:rPr>
    </w:lvl>
    <w:lvl w:ilvl="6" w:tplc="2FAC3478">
      <w:start w:val="1"/>
      <w:numFmt w:val="bullet"/>
      <w:lvlText w:val=""/>
      <w:lvlJc w:val="left"/>
      <w:pPr>
        <w:ind w:left="5040" w:hanging="360"/>
      </w:pPr>
      <w:rPr>
        <w:rFonts w:ascii="Symbol" w:hAnsi="Symbol" w:hint="default"/>
      </w:rPr>
    </w:lvl>
    <w:lvl w:ilvl="7" w:tplc="3066390C">
      <w:start w:val="1"/>
      <w:numFmt w:val="bullet"/>
      <w:lvlText w:val="o"/>
      <w:lvlJc w:val="left"/>
      <w:pPr>
        <w:ind w:left="5760" w:hanging="360"/>
      </w:pPr>
      <w:rPr>
        <w:rFonts w:ascii="Courier New" w:hAnsi="Courier New" w:hint="default"/>
      </w:rPr>
    </w:lvl>
    <w:lvl w:ilvl="8" w:tplc="041286E4">
      <w:start w:val="1"/>
      <w:numFmt w:val="bullet"/>
      <w:lvlText w:val=""/>
      <w:lvlJc w:val="left"/>
      <w:pPr>
        <w:ind w:left="6480" w:hanging="360"/>
      </w:pPr>
      <w:rPr>
        <w:rFonts w:ascii="Wingdings" w:hAnsi="Wingdings" w:hint="default"/>
      </w:rPr>
    </w:lvl>
  </w:abstractNum>
  <w:abstractNum w:abstractNumId="20" w15:restartNumberingAfterBreak="0">
    <w:nsid w:val="5AE69BBD"/>
    <w:multiLevelType w:val="hybridMultilevel"/>
    <w:tmpl w:val="F5F42090"/>
    <w:lvl w:ilvl="0" w:tplc="C038C166">
      <w:start w:val="1"/>
      <w:numFmt w:val="decimal"/>
      <w:lvlText w:val="%1."/>
      <w:lvlJc w:val="left"/>
      <w:pPr>
        <w:ind w:left="720" w:hanging="360"/>
      </w:pPr>
    </w:lvl>
    <w:lvl w:ilvl="1" w:tplc="1DD48FF8">
      <w:start w:val="1"/>
      <w:numFmt w:val="lowerLetter"/>
      <w:lvlText w:val="%2."/>
      <w:lvlJc w:val="left"/>
      <w:pPr>
        <w:ind w:left="1440" w:hanging="360"/>
      </w:pPr>
    </w:lvl>
    <w:lvl w:ilvl="2" w:tplc="A1E66E5A">
      <w:start w:val="1"/>
      <w:numFmt w:val="lowerRoman"/>
      <w:lvlText w:val="%3."/>
      <w:lvlJc w:val="right"/>
      <w:pPr>
        <w:ind w:left="2160" w:hanging="180"/>
      </w:pPr>
    </w:lvl>
    <w:lvl w:ilvl="3" w:tplc="EED876F0">
      <w:start w:val="1"/>
      <w:numFmt w:val="decimal"/>
      <w:lvlText w:val="%4."/>
      <w:lvlJc w:val="left"/>
      <w:pPr>
        <w:ind w:left="2880" w:hanging="360"/>
      </w:pPr>
    </w:lvl>
    <w:lvl w:ilvl="4" w:tplc="6396053A">
      <w:start w:val="1"/>
      <w:numFmt w:val="lowerLetter"/>
      <w:lvlText w:val="%5."/>
      <w:lvlJc w:val="left"/>
      <w:pPr>
        <w:ind w:left="3600" w:hanging="360"/>
      </w:pPr>
    </w:lvl>
    <w:lvl w:ilvl="5" w:tplc="CFC0ADB2">
      <w:start w:val="1"/>
      <w:numFmt w:val="lowerRoman"/>
      <w:lvlText w:val="%6."/>
      <w:lvlJc w:val="right"/>
      <w:pPr>
        <w:ind w:left="4320" w:hanging="180"/>
      </w:pPr>
    </w:lvl>
    <w:lvl w:ilvl="6" w:tplc="2B6E6886">
      <w:start w:val="1"/>
      <w:numFmt w:val="decimal"/>
      <w:lvlText w:val="%7."/>
      <w:lvlJc w:val="left"/>
      <w:pPr>
        <w:ind w:left="5040" w:hanging="360"/>
      </w:pPr>
    </w:lvl>
    <w:lvl w:ilvl="7" w:tplc="3DAA1130">
      <w:start w:val="1"/>
      <w:numFmt w:val="lowerLetter"/>
      <w:lvlText w:val="%8."/>
      <w:lvlJc w:val="left"/>
      <w:pPr>
        <w:ind w:left="5760" w:hanging="360"/>
      </w:pPr>
    </w:lvl>
    <w:lvl w:ilvl="8" w:tplc="A65ED682">
      <w:start w:val="1"/>
      <w:numFmt w:val="lowerRoman"/>
      <w:lvlText w:val="%9."/>
      <w:lvlJc w:val="right"/>
      <w:pPr>
        <w:ind w:left="6480" w:hanging="180"/>
      </w:pPr>
    </w:lvl>
  </w:abstractNum>
  <w:abstractNum w:abstractNumId="21" w15:restartNumberingAfterBreak="0">
    <w:nsid w:val="5C9476B9"/>
    <w:multiLevelType w:val="multilevel"/>
    <w:tmpl w:val="B536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FE3C34"/>
    <w:multiLevelType w:val="hybridMultilevel"/>
    <w:tmpl w:val="B8E25422"/>
    <w:lvl w:ilvl="0" w:tplc="044AD068">
      <w:start w:val="1"/>
      <w:numFmt w:val="decimal"/>
      <w:lvlText w:val="%1."/>
      <w:lvlJc w:val="left"/>
      <w:pPr>
        <w:ind w:left="360" w:hanging="360"/>
      </w:pPr>
    </w:lvl>
    <w:lvl w:ilvl="1" w:tplc="A04AD356">
      <w:start w:val="1"/>
      <w:numFmt w:val="lowerLetter"/>
      <w:lvlText w:val="%2."/>
      <w:lvlJc w:val="left"/>
      <w:pPr>
        <w:ind w:left="1080" w:hanging="360"/>
      </w:pPr>
    </w:lvl>
    <w:lvl w:ilvl="2" w:tplc="139A4254">
      <w:start w:val="1"/>
      <w:numFmt w:val="lowerRoman"/>
      <w:lvlText w:val="%3."/>
      <w:lvlJc w:val="right"/>
      <w:pPr>
        <w:ind w:left="1800" w:hanging="180"/>
      </w:pPr>
    </w:lvl>
    <w:lvl w:ilvl="3" w:tplc="F9C8F516">
      <w:start w:val="1"/>
      <w:numFmt w:val="decimal"/>
      <w:lvlText w:val="%4."/>
      <w:lvlJc w:val="left"/>
      <w:pPr>
        <w:ind w:left="2520" w:hanging="360"/>
      </w:pPr>
    </w:lvl>
    <w:lvl w:ilvl="4" w:tplc="EBCCB8B2">
      <w:start w:val="1"/>
      <w:numFmt w:val="lowerLetter"/>
      <w:lvlText w:val="%5."/>
      <w:lvlJc w:val="left"/>
      <w:pPr>
        <w:ind w:left="3240" w:hanging="360"/>
      </w:pPr>
    </w:lvl>
    <w:lvl w:ilvl="5" w:tplc="1E96A0C8">
      <w:start w:val="1"/>
      <w:numFmt w:val="lowerRoman"/>
      <w:lvlText w:val="%6."/>
      <w:lvlJc w:val="right"/>
      <w:pPr>
        <w:ind w:left="3960" w:hanging="180"/>
      </w:pPr>
    </w:lvl>
    <w:lvl w:ilvl="6" w:tplc="A27C110C">
      <w:start w:val="1"/>
      <w:numFmt w:val="decimal"/>
      <w:lvlText w:val="%7."/>
      <w:lvlJc w:val="left"/>
      <w:pPr>
        <w:ind w:left="4680" w:hanging="360"/>
      </w:pPr>
    </w:lvl>
    <w:lvl w:ilvl="7" w:tplc="3E5486F0">
      <w:start w:val="1"/>
      <w:numFmt w:val="lowerLetter"/>
      <w:lvlText w:val="%8."/>
      <w:lvlJc w:val="left"/>
      <w:pPr>
        <w:ind w:left="5400" w:hanging="360"/>
      </w:pPr>
    </w:lvl>
    <w:lvl w:ilvl="8" w:tplc="30F6AF30">
      <w:start w:val="1"/>
      <w:numFmt w:val="lowerRoman"/>
      <w:lvlText w:val="%9."/>
      <w:lvlJc w:val="right"/>
      <w:pPr>
        <w:ind w:left="6120" w:hanging="180"/>
      </w:pPr>
    </w:lvl>
  </w:abstractNum>
  <w:abstractNum w:abstractNumId="23" w15:restartNumberingAfterBreak="0">
    <w:nsid w:val="5FA46BE2"/>
    <w:multiLevelType w:val="hybridMultilevel"/>
    <w:tmpl w:val="9774B54A"/>
    <w:lvl w:ilvl="0" w:tplc="60DAFF60">
      <w:start w:val="1"/>
      <w:numFmt w:val="bullet"/>
      <w:lvlText w:val=""/>
      <w:lvlJc w:val="left"/>
      <w:pPr>
        <w:ind w:left="720" w:hanging="360"/>
      </w:pPr>
      <w:rPr>
        <w:rFonts w:ascii="Symbol" w:hAnsi="Symbol" w:hint="default"/>
      </w:rPr>
    </w:lvl>
    <w:lvl w:ilvl="1" w:tplc="A2505446">
      <w:start w:val="1"/>
      <w:numFmt w:val="bullet"/>
      <w:lvlText w:val="o"/>
      <w:lvlJc w:val="left"/>
      <w:pPr>
        <w:ind w:left="1440" w:hanging="360"/>
      </w:pPr>
      <w:rPr>
        <w:rFonts w:ascii="Courier New" w:hAnsi="Courier New" w:hint="default"/>
      </w:rPr>
    </w:lvl>
    <w:lvl w:ilvl="2" w:tplc="6D4A50EE">
      <w:start w:val="1"/>
      <w:numFmt w:val="bullet"/>
      <w:lvlText w:val=""/>
      <w:lvlJc w:val="left"/>
      <w:pPr>
        <w:ind w:left="2160" w:hanging="360"/>
      </w:pPr>
      <w:rPr>
        <w:rFonts w:ascii="Wingdings" w:hAnsi="Wingdings" w:hint="default"/>
      </w:rPr>
    </w:lvl>
    <w:lvl w:ilvl="3" w:tplc="51163F00">
      <w:start w:val="1"/>
      <w:numFmt w:val="bullet"/>
      <w:lvlText w:val=""/>
      <w:lvlJc w:val="left"/>
      <w:pPr>
        <w:ind w:left="2880" w:hanging="360"/>
      </w:pPr>
      <w:rPr>
        <w:rFonts w:ascii="Symbol" w:hAnsi="Symbol" w:hint="default"/>
      </w:rPr>
    </w:lvl>
    <w:lvl w:ilvl="4" w:tplc="40DA59F4">
      <w:start w:val="1"/>
      <w:numFmt w:val="bullet"/>
      <w:lvlText w:val="o"/>
      <w:lvlJc w:val="left"/>
      <w:pPr>
        <w:ind w:left="3600" w:hanging="360"/>
      </w:pPr>
      <w:rPr>
        <w:rFonts w:ascii="Courier New" w:hAnsi="Courier New" w:hint="default"/>
      </w:rPr>
    </w:lvl>
    <w:lvl w:ilvl="5" w:tplc="49B4FA5C">
      <w:start w:val="1"/>
      <w:numFmt w:val="bullet"/>
      <w:lvlText w:val=""/>
      <w:lvlJc w:val="left"/>
      <w:pPr>
        <w:ind w:left="4320" w:hanging="360"/>
      </w:pPr>
      <w:rPr>
        <w:rFonts w:ascii="Wingdings" w:hAnsi="Wingdings" w:hint="default"/>
      </w:rPr>
    </w:lvl>
    <w:lvl w:ilvl="6" w:tplc="622EF0D8">
      <w:start w:val="1"/>
      <w:numFmt w:val="bullet"/>
      <w:lvlText w:val=""/>
      <w:lvlJc w:val="left"/>
      <w:pPr>
        <w:ind w:left="5040" w:hanging="360"/>
      </w:pPr>
      <w:rPr>
        <w:rFonts w:ascii="Symbol" w:hAnsi="Symbol" w:hint="default"/>
      </w:rPr>
    </w:lvl>
    <w:lvl w:ilvl="7" w:tplc="2CCE21D0">
      <w:start w:val="1"/>
      <w:numFmt w:val="bullet"/>
      <w:lvlText w:val="o"/>
      <w:lvlJc w:val="left"/>
      <w:pPr>
        <w:ind w:left="5760" w:hanging="360"/>
      </w:pPr>
      <w:rPr>
        <w:rFonts w:ascii="Courier New" w:hAnsi="Courier New" w:hint="default"/>
      </w:rPr>
    </w:lvl>
    <w:lvl w:ilvl="8" w:tplc="B54A8226">
      <w:start w:val="1"/>
      <w:numFmt w:val="bullet"/>
      <w:lvlText w:val=""/>
      <w:lvlJc w:val="left"/>
      <w:pPr>
        <w:ind w:left="6480" w:hanging="360"/>
      </w:pPr>
      <w:rPr>
        <w:rFonts w:ascii="Wingdings" w:hAnsi="Wingdings" w:hint="default"/>
      </w:rPr>
    </w:lvl>
  </w:abstractNum>
  <w:abstractNum w:abstractNumId="24" w15:restartNumberingAfterBreak="0">
    <w:nsid w:val="628F247C"/>
    <w:multiLevelType w:val="hybridMultilevel"/>
    <w:tmpl w:val="C8F01F22"/>
    <w:lvl w:ilvl="0" w:tplc="E2E04EAC">
      <w:start w:val="1"/>
      <w:numFmt w:val="bullet"/>
      <w:lvlText w:val=""/>
      <w:lvlJc w:val="left"/>
      <w:pPr>
        <w:ind w:left="720" w:hanging="360"/>
      </w:pPr>
      <w:rPr>
        <w:rFonts w:ascii="Symbol" w:hAnsi="Symbol" w:hint="default"/>
      </w:rPr>
    </w:lvl>
    <w:lvl w:ilvl="1" w:tplc="AF468340">
      <w:start w:val="1"/>
      <w:numFmt w:val="bullet"/>
      <w:lvlText w:val="o"/>
      <w:lvlJc w:val="left"/>
      <w:pPr>
        <w:ind w:left="1440" w:hanging="360"/>
      </w:pPr>
      <w:rPr>
        <w:rFonts w:ascii="Courier New" w:hAnsi="Courier New" w:hint="default"/>
      </w:rPr>
    </w:lvl>
    <w:lvl w:ilvl="2" w:tplc="B404810C">
      <w:start w:val="1"/>
      <w:numFmt w:val="bullet"/>
      <w:lvlText w:val=""/>
      <w:lvlJc w:val="left"/>
      <w:pPr>
        <w:ind w:left="2160" w:hanging="360"/>
      </w:pPr>
      <w:rPr>
        <w:rFonts w:ascii="Wingdings" w:hAnsi="Wingdings" w:hint="default"/>
      </w:rPr>
    </w:lvl>
    <w:lvl w:ilvl="3" w:tplc="10F867EE">
      <w:start w:val="1"/>
      <w:numFmt w:val="bullet"/>
      <w:lvlText w:val=""/>
      <w:lvlJc w:val="left"/>
      <w:pPr>
        <w:ind w:left="2880" w:hanging="360"/>
      </w:pPr>
      <w:rPr>
        <w:rFonts w:ascii="Symbol" w:hAnsi="Symbol" w:hint="default"/>
      </w:rPr>
    </w:lvl>
    <w:lvl w:ilvl="4" w:tplc="A9AA7DFC">
      <w:start w:val="1"/>
      <w:numFmt w:val="bullet"/>
      <w:lvlText w:val="o"/>
      <w:lvlJc w:val="left"/>
      <w:pPr>
        <w:ind w:left="3600" w:hanging="360"/>
      </w:pPr>
      <w:rPr>
        <w:rFonts w:ascii="Courier New" w:hAnsi="Courier New" w:hint="default"/>
      </w:rPr>
    </w:lvl>
    <w:lvl w:ilvl="5" w:tplc="A67EB02E">
      <w:start w:val="1"/>
      <w:numFmt w:val="bullet"/>
      <w:lvlText w:val=""/>
      <w:lvlJc w:val="left"/>
      <w:pPr>
        <w:ind w:left="4320" w:hanging="360"/>
      </w:pPr>
      <w:rPr>
        <w:rFonts w:ascii="Wingdings" w:hAnsi="Wingdings" w:hint="default"/>
      </w:rPr>
    </w:lvl>
    <w:lvl w:ilvl="6" w:tplc="760E70FE">
      <w:start w:val="1"/>
      <w:numFmt w:val="bullet"/>
      <w:lvlText w:val=""/>
      <w:lvlJc w:val="left"/>
      <w:pPr>
        <w:ind w:left="5040" w:hanging="360"/>
      </w:pPr>
      <w:rPr>
        <w:rFonts w:ascii="Symbol" w:hAnsi="Symbol" w:hint="default"/>
      </w:rPr>
    </w:lvl>
    <w:lvl w:ilvl="7" w:tplc="4ABEEB62">
      <w:start w:val="1"/>
      <w:numFmt w:val="bullet"/>
      <w:lvlText w:val="o"/>
      <w:lvlJc w:val="left"/>
      <w:pPr>
        <w:ind w:left="5760" w:hanging="360"/>
      </w:pPr>
      <w:rPr>
        <w:rFonts w:ascii="Courier New" w:hAnsi="Courier New" w:hint="default"/>
      </w:rPr>
    </w:lvl>
    <w:lvl w:ilvl="8" w:tplc="95F0C052">
      <w:start w:val="1"/>
      <w:numFmt w:val="bullet"/>
      <w:lvlText w:val=""/>
      <w:lvlJc w:val="left"/>
      <w:pPr>
        <w:ind w:left="6480" w:hanging="360"/>
      </w:pPr>
      <w:rPr>
        <w:rFonts w:ascii="Wingdings" w:hAnsi="Wingdings" w:hint="default"/>
      </w:rPr>
    </w:lvl>
  </w:abstractNum>
  <w:abstractNum w:abstractNumId="25" w15:restartNumberingAfterBreak="0">
    <w:nsid w:val="655FE1AD"/>
    <w:multiLevelType w:val="hybridMultilevel"/>
    <w:tmpl w:val="68B0C63E"/>
    <w:lvl w:ilvl="0" w:tplc="BEC4205E">
      <w:start w:val="1"/>
      <w:numFmt w:val="bullet"/>
      <w:lvlText w:val=""/>
      <w:lvlJc w:val="left"/>
      <w:pPr>
        <w:ind w:left="720" w:hanging="360"/>
      </w:pPr>
      <w:rPr>
        <w:rFonts w:ascii="Symbol" w:hAnsi="Symbol" w:hint="default"/>
      </w:rPr>
    </w:lvl>
    <w:lvl w:ilvl="1" w:tplc="FE3E17A0">
      <w:start w:val="1"/>
      <w:numFmt w:val="bullet"/>
      <w:lvlText w:val="o"/>
      <w:lvlJc w:val="left"/>
      <w:pPr>
        <w:ind w:left="1440" w:hanging="360"/>
      </w:pPr>
      <w:rPr>
        <w:rFonts w:ascii="Courier New" w:hAnsi="Courier New" w:hint="default"/>
      </w:rPr>
    </w:lvl>
    <w:lvl w:ilvl="2" w:tplc="ADA079FC">
      <w:start w:val="1"/>
      <w:numFmt w:val="bullet"/>
      <w:lvlText w:val=""/>
      <w:lvlJc w:val="left"/>
      <w:pPr>
        <w:ind w:left="2160" w:hanging="360"/>
      </w:pPr>
      <w:rPr>
        <w:rFonts w:ascii="Wingdings" w:hAnsi="Wingdings" w:hint="default"/>
      </w:rPr>
    </w:lvl>
    <w:lvl w:ilvl="3" w:tplc="29A2A4BC">
      <w:start w:val="1"/>
      <w:numFmt w:val="bullet"/>
      <w:lvlText w:val=""/>
      <w:lvlJc w:val="left"/>
      <w:pPr>
        <w:ind w:left="2880" w:hanging="360"/>
      </w:pPr>
      <w:rPr>
        <w:rFonts w:ascii="Symbol" w:hAnsi="Symbol" w:hint="default"/>
      </w:rPr>
    </w:lvl>
    <w:lvl w:ilvl="4" w:tplc="374A9266">
      <w:start w:val="1"/>
      <w:numFmt w:val="bullet"/>
      <w:lvlText w:val="o"/>
      <w:lvlJc w:val="left"/>
      <w:pPr>
        <w:ind w:left="3600" w:hanging="360"/>
      </w:pPr>
      <w:rPr>
        <w:rFonts w:ascii="Courier New" w:hAnsi="Courier New" w:hint="default"/>
      </w:rPr>
    </w:lvl>
    <w:lvl w:ilvl="5" w:tplc="01BCCC70">
      <w:start w:val="1"/>
      <w:numFmt w:val="bullet"/>
      <w:lvlText w:val=""/>
      <w:lvlJc w:val="left"/>
      <w:pPr>
        <w:ind w:left="4320" w:hanging="360"/>
      </w:pPr>
      <w:rPr>
        <w:rFonts w:ascii="Wingdings" w:hAnsi="Wingdings" w:hint="default"/>
      </w:rPr>
    </w:lvl>
    <w:lvl w:ilvl="6" w:tplc="58C27306">
      <w:start w:val="1"/>
      <w:numFmt w:val="bullet"/>
      <w:lvlText w:val=""/>
      <w:lvlJc w:val="left"/>
      <w:pPr>
        <w:ind w:left="5040" w:hanging="360"/>
      </w:pPr>
      <w:rPr>
        <w:rFonts w:ascii="Symbol" w:hAnsi="Symbol" w:hint="default"/>
      </w:rPr>
    </w:lvl>
    <w:lvl w:ilvl="7" w:tplc="3DA66BC2">
      <w:start w:val="1"/>
      <w:numFmt w:val="bullet"/>
      <w:lvlText w:val="o"/>
      <w:lvlJc w:val="left"/>
      <w:pPr>
        <w:ind w:left="5760" w:hanging="360"/>
      </w:pPr>
      <w:rPr>
        <w:rFonts w:ascii="Courier New" w:hAnsi="Courier New" w:hint="default"/>
      </w:rPr>
    </w:lvl>
    <w:lvl w:ilvl="8" w:tplc="9326AC4E">
      <w:start w:val="1"/>
      <w:numFmt w:val="bullet"/>
      <w:lvlText w:val=""/>
      <w:lvlJc w:val="left"/>
      <w:pPr>
        <w:ind w:left="6480" w:hanging="360"/>
      </w:pPr>
      <w:rPr>
        <w:rFonts w:ascii="Wingdings" w:hAnsi="Wingdings" w:hint="default"/>
      </w:rPr>
    </w:lvl>
  </w:abstractNum>
  <w:abstractNum w:abstractNumId="26" w15:restartNumberingAfterBreak="0">
    <w:nsid w:val="657A3FA3"/>
    <w:multiLevelType w:val="multilevel"/>
    <w:tmpl w:val="0B76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9EDEB9"/>
    <w:multiLevelType w:val="hybridMultilevel"/>
    <w:tmpl w:val="76EA547E"/>
    <w:lvl w:ilvl="0" w:tplc="0028439E">
      <w:start w:val="1"/>
      <w:numFmt w:val="decimal"/>
      <w:lvlText w:val="(%1)"/>
      <w:lvlJc w:val="left"/>
      <w:pPr>
        <w:ind w:left="360" w:hanging="360"/>
      </w:pPr>
    </w:lvl>
    <w:lvl w:ilvl="1" w:tplc="891ED116">
      <w:start w:val="1"/>
      <w:numFmt w:val="lowerLetter"/>
      <w:lvlText w:val="%2."/>
      <w:lvlJc w:val="left"/>
      <w:pPr>
        <w:ind w:left="1080" w:hanging="360"/>
      </w:pPr>
    </w:lvl>
    <w:lvl w:ilvl="2" w:tplc="D9D099CE">
      <w:start w:val="1"/>
      <w:numFmt w:val="lowerRoman"/>
      <w:lvlText w:val="%3."/>
      <w:lvlJc w:val="right"/>
      <w:pPr>
        <w:ind w:left="1800" w:hanging="180"/>
      </w:pPr>
    </w:lvl>
    <w:lvl w:ilvl="3" w:tplc="DCB0D5B8">
      <w:start w:val="1"/>
      <w:numFmt w:val="decimal"/>
      <w:lvlText w:val="%4."/>
      <w:lvlJc w:val="left"/>
      <w:pPr>
        <w:ind w:left="2520" w:hanging="360"/>
      </w:pPr>
    </w:lvl>
    <w:lvl w:ilvl="4" w:tplc="A9A82676">
      <w:start w:val="1"/>
      <w:numFmt w:val="lowerLetter"/>
      <w:lvlText w:val="%5."/>
      <w:lvlJc w:val="left"/>
      <w:pPr>
        <w:ind w:left="3240" w:hanging="360"/>
      </w:pPr>
    </w:lvl>
    <w:lvl w:ilvl="5" w:tplc="0ADC1A4E">
      <w:start w:val="1"/>
      <w:numFmt w:val="lowerRoman"/>
      <w:lvlText w:val="%6."/>
      <w:lvlJc w:val="right"/>
      <w:pPr>
        <w:ind w:left="3960" w:hanging="180"/>
      </w:pPr>
    </w:lvl>
    <w:lvl w:ilvl="6" w:tplc="619CF1EC">
      <w:start w:val="1"/>
      <w:numFmt w:val="decimal"/>
      <w:lvlText w:val="%7."/>
      <w:lvlJc w:val="left"/>
      <w:pPr>
        <w:ind w:left="4680" w:hanging="360"/>
      </w:pPr>
    </w:lvl>
    <w:lvl w:ilvl="7" w:tplc="6CDEF316">
      <w:start w:val="1"/>
      <w:numFmt w:val="lowerLetter"/>
      <w:lvlText w:val="%8."/>
      <w:lvlJc w:val="left"/>
      <w:pPr>
        <w:ind w:left="5400" w:hanging="360"/>
      </w:pPr>
    </w:lvl>
    <w:lvl w:ilvl="8" w:tplc="15666F84">
      <w:start w:val="1"/>
      <w:numFmt w:val="lowerRoman"/>
      <w:lvlText w:val="%9."/>
      <w:lvlJc w:val="right"/>
      <w:pPr>
        <w:ind w:left="6120" w:hanging="180"/>
      </w:pPr>
    </w:lvl>
  </w:abstractNum>
  <w:abstractNum w:abstractNumId="28" w15:restartNumberingAfterBreak="0">
    <w:nsid w:val="66202E89"/>
    <w:multiLevelType w:val="hybridMultilevel"/>
    <w:tmpl w:val="2A7E7E48"/>
    <w:lvl w:ilvl="0" w:tplc="12BE6962">
      <w:start w:val="1"/>
      <w:numFmt w:val="lowerLetter"/>
      <w:lvlText w:val="(%1)"/>
      <w:lvlJc w:val="left"/>
      <w:pPr>
        <w:ind w:left="720" w:hanging="360"/>
      </w:pPr>
    </w:lvl>
    <w:lvl w:ilvl="1" w:tplc="59F46712">
      <w:start w:val="1"/>
      <w:numFmt w:val="lowerLetter"/>
      <w:lvlText w:val="%2."/>
      <w:lvlJc w:val="left"/>
      <w:pPr>
        <w:ind w:left="1440" w:hanging="360"/>
      </w:pPr>
    </w:lvl>
    <w:lvl w:ilvl="2" w:tplc="AD88B6FE">
      <w:start w:val="1"/>
      <w:numFmt w:val="lowerRoman"/>
      <w:lvlText w:val="%3."/>
      <w:lvlJc w:val="right"/>
      <w:pPr>
        <w:ind w:left="2160" w:hanging="180"/>
      </w:pPr>
    </w:lvl>
    <w:lvl w:ilvl="3" w:tplc="C25AAEC0">
      <w:start w:val="1"/>
      <w:numFmt w:val="decimal"/>
      <w:lvlText w:val="%4."/>
      <w:lvlJc w:val="left"/>
      <w:pPr>
        <w:ind w:left="2880" w:hanging="360"/>
      </w:pPr>
    </w:lvl>
    <w:lvl w:ilvl="4" w:tplc="7A1A9FE6">
      <w:start w:val="1"/>
      <w:numFmt w:val="lowerLetter"/>
      <w:lvlText w:val="%5."/>
      <w:lvlJc w:val="left"/>
      <w:pPr>
        <w:ind w:left="3600" w:hanging="360"/>
      </w:pPr>
    </w:lvl>
    <w:lvl w:ilvl="5" w:tplc="E1D68392">
      <w:start w:val="1"/>
      <w:numFmt w:val="lowerRoman"/>
      <w:lvlText w:val="%6."/>
      <w:lvlJc w:val="right"/>
      <w:pPr>
        <w:ind w:left="4320" w:hanging="180"/>
      </w:pPr>
    </w:lvl>
    <w:lvl w:ilvl="6" w:tplc="FC38B53C">
      <w:start w:val="1"/>
      <w:numFmt w:val="decimal"/>
      <w:lvlText w:val="%7."/>
      <w:lvlJc w:val="left"/>
      <w:pPr>
        <w:ind w:left="5040" w:hanging="360"/>
      </w:pPr>
    </w:lvl>
    <w:lvl w:ilvl="7" w:tplc="58E6C9E6">
      <w:start w:val="1"/>
      <w:numFmt w:val="lowerLetter"/>
      <w:lvlText w:val="%8."/>
      <w:lvlJc w:val="left"/>
      <w:pPr>
        <w:ind w:left="5760" w:hanging="360"/>
      </w:pPr>
    </w:lvl>
    <w:lvl w:ilvl="8" w:tplc="03C86DB2">
      <w:start w:val="1"/>
      <w:numFmt w:val="lowerRoman"/>
      <w:lvlText w:val="%9."/>
      <w:lvlJc w:val="right"/>
      <w:pPr>
        <w:ind w:left="6480" w:hanging="180"/>
      </w:pPr>
    </w:lvl>
  </w:abstractNum>
  <w:abstractNum w:abstractNumId="29" w15:restartNumberingAfterBreak="0">
    <w:nsid w:val="6677C659"/>
    <w:multiLevelType w:val="hybridMultilevel"/>
    <w:tmpl w:val="9DCE5FA4"/>
    <w:lvl w:ilvl="0" w:tplc="AA2254BA">
      <w:start w:val="1"/>
      <w:numFmt w:val="decimal"/>
      <w:lvlText w:val="%1."/>
      <w:lvlJc w:val="left"/>
      <w:pPr>
        <w:ind w:left="720" w:hanging="360"/>
      </w:pPr>
    </w:lvl>
    <w:lvl w:ilvl="1" w:tplc="B43614E4">
      <w:start w:val="1"/>
      <w:numFmt w:val="lowerLetter"/>
      <w:lvlText w:val="%2."/>
      <w:lvlJc w:val="left"/>
      <w:pPr>
        <w:ind w:left="1440" w:hanging="360"/>
      </w:pPr>
    </w:lvl>
    <w:lvl w:ilvl="2" w:tplc="CF2EB782">
      <w:start w:val="1"/>
      <w:numFmt w:val="lowerRoman"/>
      <w:lvlText w:val="%3."/>
      <w:lvlJc w:val="right"/>
      <w:pPr>
        <w:ind w:left="2160" w:hanging="180"/>
      </w:pPr>
    </w:lvl>
    <w:lvl w:ilvl="3" w:tplc="86A85196">
      <w:start w:val="1"/>
      <w:numFmt w:val="decimal"/>
      <w:lvlText w:val="%4."/>
      <w:lvlJc w:val="left"/>
      <w:pPr>
        <w:ind w:left="2880" w:hanging="360"/>
      </w:pPr>
    </w:lvl>
    <w:lvl w:ilvl="4" w:tplc="70725E4C">
      <w:start w:val="1"/>
      <w:numFmt w:val="lowerLetter"/>
      <w:lvlText w:val="%5."/>
      <w:lvlJc w:val="left"/>
      <w:pPr>
        <w:ind w:left="3600" w:hanging="360"/>
      </w:pPr>
    </w:lvl>
    <w:lvl w:ilvl="5" w:tplc="FFCA8CB0">
      <w:start w:val="1"/>
      <w:numFmt w:val="lowerRoman"/>
      <w:lvlText w:val="%6."/>
      <w:lvlJc w:val="right"/>
      <w:pPr>
        <w:ind w:left="4320" w:hanging="180"/>
      </w:pPr>
    </w:lvl>
    <w:lvl w:ilvl="6" w:tplc="B6B4CE42">
      <w:start w:val="1"/>
      <w:numFmt w:val="decimal"/>
      <w:lvlText w:val="%7."/>
      <w:lvlJc w:val="left"/>
      <w:pPr>
        <w:ind w:left="5040" w:hanging="360"/>
      </w:pPr>
    </w:lvl>
    <w:lvl w:ilvl="7" w:tplc="3872DD70">
      <w:start w:val="1"/>
      <w:numFmt w:val="lowerLetter"/>
      <w:lvlText w:val="%8."/>
      <w:lvlJc w:val="left"/>
      <w:pPr>
        <w:ind w:left="5760" w:hanging="360"/>
      </w:pPr>
    </w:lvl>
    <w:lvl w:ilvl="8" w:tplc="A12CBA26">
      <w:start w:val="1"/>
      <w:numFmt w:val="lowerRoman"/>
      <w:lvlText w:val="%9."/>
      <w:lvlJc w:val="right"/>
      <w:pPr>
        <w:ind w:left="6480" w:hanging="180"/>
      </w:pPr>
    </w:lvl>
  </w:abstractNum>
  <w:abstractNum w:abstractNumId="30" w15:restartNumberingAfterBreak="0">
    <w:nsid w:val="6E6E53E2"/>
    <w:multiLevelType w:val="multilevel"/>
    <w:tmpl w:val="A68E2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EC265F"/>
    <w:multiLevelType w:val="multilevel"/>
    <w:tmpl w:val="85EC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BFB5FF"/>
    <w:multiLevelType w:val="hybridMultilevel"/>
    <w:tmpl w:val="F30A5024"/>
    <w:lvl w:ilvl="0" w:tplc="F194680A">
      <w:start w:val="1"/>
      <w:numFmt w:val="lowerLetter"/>
      <w:lvlText w:val="(%1)"/>
      <w:lvlJc w:val="left"/>
      <w:pPr>
        <w:ind w:left="720" w:hanging="360"/>
      </w:pPr>
    </w:lvl>
    <w:lvl w:ilvl="1" w:tplc="B65C8780">
      <w:start w:val="1"/>
      <w:numFmt w:val="lowerLetter"/>
      <w:lvlText w:val="%2."/>
      <w:lvlJc w:val="left"/>
      <w:pPr>
        <w:ind w:left="1440" w:hanging="360"/>
      </w:pPr>
    </w:lvl>
    <w:lvl w:ilvl="2" w:tplc="A66E69C6">
      <w:start w:val="1"/>
      <w:numFmt w:val="lowerRoman"/>
      <w:lvlText w:val="%3."/>
      <w:lvlJc w:val="right"/>
      <w:pPr>
        <w:ind w:left="2160" w:hanging="180"/>
      </w:pPr>
    </w:lvl>
    <w:lvl w:ilvl="3" w:tplc="29889126">
      <w:start w:val="1"/>
      <w:numFmt w:val="decimal"/>
      <w:lvlText w:val="%4."/>
      <w:lvlJc w:val="left"/>
      <w:pPr>
        <w:ind w:left="2880" w:hanging="360"/>
      </w:pPr>
    </w:lvl>
    <w:lvl w:ilvl="4" w:tplc="ED5EBEDE">
      <w:start w:val="1"/>
      <w:numFmt w:val="lowerLetter"/>
      <w:lvlText w:val="%5."/>
      <w:lvlJc w:val="left"/>
      <w:pPr>
        <w:ind w:left="3600" w:hanging="360"/>
      </w:pPr>
    </w:lvl>
    <w:lvl w:ilvl="5" w:tplc="C5EEE7A4">
      <w:start w:val="1"/>
      <w:numFmt w:val="lowerRoman"/>
      <w:lvlText w:val="%6."/>
      <w:lvlJc w:val="right"/>
      <w:pPr>
        <w:ind w:left="4320" w:hanging="180"/>
      </w:pPr>
    </w:lvl>
    <w:lvl w:ilvl="6" w:tplc="3C504B60">
      <w:start w:val="1"/>
      <w:numFmt w:val="decimal"/>
      <w:lvlText w:val="%7."/>
      <w:lvlJc w:val="left"/>
      <w:pPr>
        <w:ind w:left="5040" w:hanging="360"/>
      </w:pPr>
    </w:lvl>
    <w:lvl w:ilvl="7" w:tplc="2FBED974">
      <w:start w:val="1"/>
      <w:numFmt w:val="lowerLetter"/>
      <w:lvlText w:val="%8."/>
      <w:lvlJc w:val="left"/>
      <w:pPr>
        <w:ind w:left="5760" w:hanging="360"/>
      </w:pPr>
    </w:lvl>
    <w:lvl w:ilvl="8" w:tplc="EA683F0C">
      <w:start w:val="1"/>
      <w:numFmt w:val="lowerRoman"/>
      <w:lvlText w:val="%9."/>
      <w:lvlJc w:val="right"/>
      <w:pPr>
        <w:ind w:left="6480" w:hanging="180"/>
      </w:pPr>
    </w:lvl>
  </w:abstractNum>
  <w:abstractNum w:abstractNumId="33" w15:restartNumberingAfterBreak="0">
    <w:nsid w:val="7A19672E"/>
    <w:multiLevelType w:val="hybridMultilevel"/>
    <w:tmpl w:val="15DE5B1E"/>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1392015">
    <w:abstractNumId w:val="30"/>
  </w:num>
  <w:num w:numId="2" w16cid:durableId="443771060">
    <w:abstractNumId w:val="31"/>
  </w:num>
  <w:num w:numId="3" w16cid:durableId="1321151132">
    <w:abstractNumId w:val="26"/>
  </w:num>
  <w:num w:numId="4" w16cid:durableId="1970545289">
    <w:abstractNumId w:val="21"/>
  </w:num>
  <w:num w:numId="5" w16cid:durableId="250505261">
    <w:abstractNumId w:val="12"/>
  </w:num>
  <w:num w:numId="6" w16cid:durableId="1517227168">
    <w:abstractNumId w:val="33"/>
  </w:num>
  <w:num w:numId="7" w16cid:durableId="1414088456">
    <w:abstractNumId w:val="24"/>
  </w:num>
  <w:num w:numId="8" w16cid:durableId="1389648974">
    <w:abstractNumId w:val="32"/>
  </w:num>
  <w:num w:numId="9" w16cid:durableId="1081681569">
    <w:abstractNumId w:val="28"/>
  </w:num>
  <w:num w:numId="10" w16cid:durableId="678047056">
    <w:abstractNumId w:val="3"/>
  </w:num>
  <w:num w:numId="11" w16cid:durableId="225074731">
    <w:abstractNumId w:val="22"/>
  </w:num>
  <w:num w:numId="12" w16cid:durableId="945038316">
    <w:abstractNumId w:val="2"/>
  </w:num>
  <w:num w:numId="13" w16cid:durableId="1654875001">
    <w:abstractNumId w:val="25"/>
  </w:num>
  <w:num w:numId="14" w16cid:durableId="158423536">
    <w:abstractNumId w:val="4"/>
  </w:num>
  <w:num w:numId="15" w16cid:durableId="1256860843">
    <w:abstractNumId w:val="20"/>
  </w:num>
  <w:num w:numId="16" w16cid:durableId="1965308756">
    <w:abstractNumId w:val="18"/>
  </w:num>
  <w:num w:numId="17" w16cid:durableId="1948539512">
    <w:abstractNumId w:val="15"/>
  </w:num>
  <w:num w:numId="18" w16cid:durableId="539322320">
    <w:abstractNumId w:val="7"/>
  </w:num>
  <w:num w:numId="19" w16cid:durableId="1418015660">
    <w:abstractNumId w:val="11"/>
  </w:num>
  <w:num w:numId="20" w16cid:durableId="1337030668">
    <w:abstractNumId w:val="23"/>
  </w:num>
  <w:num w:numId="21" w16cid:durableId="1927759290">
    <w:abstractNumId w:val="13"/>
  </w:num>
  <w:num w:numId="22" w16cid:durableId="612446485">
    <w:abstractNumId w:val="6"/>
  </w:num>
  <w:num w:numId="23" w16cid:durableId="455952586">
    <w:abstractNumId w:val="8"/>
  </w:num>
  <w:num w:numId="24" w16cid:durableId="908929016">
    <w:abstractNumId w:val="0"/>
  </w:num>
  <w:num w:numId="25" w16cid:durableId="378824592">
    <w:abstractNumId w:val="1"/>
  </w:num>
  <w:num w:numId="26" w16cid:durableId="1785927959">
    <w:abstractNumId w:val="10"/>
  </w:num>
  <w:num w:numId="27" w16cid:durableId="356547397">
    <w:abstractNumId w:val="17"/>
  </w:num>
  <w:num w:numId="28" w16cid:durableId="1600289540">
    <w:abstractNumId w:val="19"/>
  </w:num>
  <w:num w:numId="29" w16cid:durableId="1483350534">
    <w:abstractNumId w:val="27"/>
  </w:num>
  <w:num w:numId="30" w16cid:durableId="1102334062">
    <w:abstractNumId w:val="29"/>
  </w:num>
  <w:num w:numId="31" w16cid:durableId="909266483">
    <w:abstractNumId w:val="9"/>
  </w:num>
  <w:num w:numId="32" w16cid:durableId="1997801676">
    <w:abstractNumId w:val="16"/>
  </w:num>
  <w:num w:numId="33" w16cid:durableId="2100639460">
    <w:abstractNumId w:val="5"/>
  </w:num>
  <w:num w:numId="34" w16cid:durableId="14188651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F5D"/>
    <w:rsid w:val="000044AB"/>
    <w:rsid w:val="00042F1F"/>
    <w:rsid w:val="00066185"/>
    <w:rsid w:val="000818CE"/>
    <w:rsid w:val="000B0D1F"/>
    <w:rsid w:val="000B57BF"/>
    <w:rsid w:val="000D04EF"/>
    <w:rsid w:val="000F6FBF"/>
    <w:rsid w:val="0013761E"/>
    <w:rsid w:val="001508BD"/>
    <w:rsid w:val="0015112D"/>
    <w:rsid w:val="0015696C"/>
    <w:rsid w:val="00160E98"/>
    <w:rsid w:val="001A4F7E"/>
    <w:rsid w:val="00205BD1"/>
    <w:rsid w:val="00221C2B"/>
    <w:rsid w:val="002300F0"/>
    <w:rsid w:val="00231171"/>
    <w:rsid w:val="00237F88"/>
    <w:rsid w:val="00245E22"/>
    <w:rsid w:val="00250054"/>
    <w:rsid w:val="002C06EC"/>
    <w:rsid w:val="002E39A4"/>
    <w:rsid w:val="00386111"/>
    <w:rsid w:val="003B67A8"/>
    <w:rsid w:val="003C5641"/>
    <w:rsid w:val="003C7823"/>
    <w:rsid w:val="00412A4A"/>
    <w:rsid w:val="00424A1D"/>
    <w:rsid w:val="0043267C"/>
    <w:rsid w:val="00436DAE"/>
    <w:rsid w:val="00451ED9"/>
    <w:rsid w:val="00455932"/>
    <w:rsid w:val="004A4321"/>
    <w:rsid w:val="004B1734"/>
    <w:rsid w:val="004C56B3"/>
    <w:rsid w:val="004E2C58"/>
    <w:rsid w:val="0050236E"/>
    <w:rsid w:val="0050687A"/>
    <w:rsid w:val="00542267"/>
    <w:rsid w:val="005558C0"/>
    <w:rsid w:val="005859AA"/>
    <w:rsid w:val="005C1E54"/>
    <w:rsid w:val="005F6805"/>
    <w:rsid w:val="005F7372"/>
    <w:rsid w:val="006004EE"/>
    <w:rsid w:val="006071A2"/>
    <w:rsid w:val="00615A0E"/>
    <w:rsid w:val="00621204"/>
    <w:rsid w:val="0062714D"/>
    <w:rsid w:val="00672F65"/>
    <w:rsid w:val="006B735E"/>
    <w:rsid w:val="006C6A16"/>
    <w:rsid w:val="006E792D"/>
    <w:rsid w:val="006F5BF1"/>
    <w:rsid w:val="00750636"/>
    <w:rsid w:val="00771A3D"/>
    <w:rsid w:val="007723E7"/>
    <w:rsid w:val="00795D11"/>
    <w:rsid w:val="007A0E04"/>
    <w:rsid w:val="007A7A9E"/>
    <w:rsid w:val="007B0BC9"/>
    <w:rsid w:val="007B68A5"/>
    <w:rsid w:val="00855FA8"/>
    <w:rsid w:val="008665FF"/>
    <w:rsid w:val="009062E2"/>
    <w:rsid w:val="009B69E0"/>
    <w:rsid w:val="009B7380"/>
    <w:rsid w:val="009D6427"/>
    <w:rsid w:val="009E2C4E"/>
    <w:rsid w:val="00A227A2"/>
    <w:rsid w:val="00A4576A"/>
    <w:rsid w:val="00A57562"/>
    <w:rsid w:val="00A62952"/>
    <w:rsid w:val="00A96BE8"/>
    <w:rsid w:val="00AA2595"/>
    <w:rsid w:val="00AA4E3E"/>
    <w:rsid w:val="00B22AD7"/>
    <w:rsid w:val="00B240CB"/>
    <w:rsid w:val="00B25FCE"/>
    <w:rsid w:val="00B34B63"/>
    <w:rsid w:val="00B53212"/>
    <w:rsid w:val="00B85027"/>
    <w:rsid w:val="00B8712E"/>
    <w:rsid w:val="00B8724D"/>
    <w:rsid w:val="00BB5F65"/>
    <w:rsid w:val="00BC052A"/>
    <w:rsid w:val="00BC4944"/>
    <w:rsid w:val="00BE31BC"/>
    <w:rsid w:val="00BF2360"/>
    <w:rsid w:val="00C12A63"/>
    <w:rsid w:val="00C16822"/>
    <w:rsid w:val="00C56F22"/>
    <w:rsid w:val="00C6019E"/>
    <w:rsid w:val="00C7019A"/>
    <w:rsid w:val="00CC2471"/>
    <w:rsid w:val="00D24306"/>
    <w:rsid w:val="00D31A11"/>
    <w:rsid w:val="00D33A1E"/>
    <w:rsid w:val="00D7020F"/>
    <w:rsid w:val="00D72192"/>
    <w:rsid w:val="00DA4FBE"/>
    <w:rsid w:val="00DB1A8B"/>
    <w:rsid w:val="00DC6B94"/>
    <w:rsid w:val="00E661BD"/>
    <w:rsid w:val="00EE72EE"/>
    <w:rsid w:val="00EE764B"/>
    <w:rsid w:val="00F07316"/>
    <w:rsid w:val="00F3043D"/>
    <w:rsid w:val="00F351DE"/>
    <w:rsid w:val="00F427C4"/>
    <w:rsid w:val="00F44139"/>
    <w:rsid w:val="00F95977"/>
    <w:rsid w:val="00FA1E91"/>
    <w:rsid w:val="00FC3796"/>
    <w:rsid w:val="00FC4D79"/>
    <w:rsid w:val="00FE3C6A"/>
    <w:rsid w:val="00FF5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0BDAE"/>
  <w15:chartTrackingRefBased/>
  <w15:docId w15:val="{DF24E6AB-A34E-4600-82E0-CB0F438C1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F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F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F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F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F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F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F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F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F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F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F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F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F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F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F5D"/>
    <w:rPr>
      <w:rFonts w:eastAsiaTheme="majorEastAsia" w:cstheme="majorBidi"/>
      <w:color w:val="272727" w:themeColor="text1" w:themeTint="D8"/>
    </w:rPr>
  </w:style>
  <w:style w:type="paragraph" w:styleId="Title">
    <w:name w:val="Title"/>
    <w:basedOn w:val="Normal"/>
    <w:next w:val="Normal"/>
    <w:link w:val="TitleChar"/>
    <w:uiPriority w:val="10"/>
    <w:qFormat/>
    <w:rsid w:val="00FF5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F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F5D"/>
    <w:pPr>
      <w:spacing w:before="160"/>
      <w:jc w:val="center"/>
    </w:pPr>
    <w:rPr>
      <w:i/>
      <w:iCs/>
      <w:color w:val="404040" w:themeColor="text1" w:themeTint="BF"/>
    </w:rPr>
  </w:style>
  <w:style w:type="character" w:customStyle="1" w:styleId="QuoteChar">
    <w:name w:val="Quote Char"/>
    <w:basedOn w:val="DefaultParagraphFont"/>
    <w:link w:val="Quote"/>
    <w:uiPriority w:val="29"/>
    <w:rsid w:val="00FF5F5D"/>
    <w:rPr>
      <w:i/>
      <w:iCs/>
      <w:color w:val="404040" w:themeColor="text1" w:themeTint="BF"/>
    </w:rPr>
  </w:style>
  <w:style w:type="paragraph" w:styleId="ListParagraph">
    <w:name w:val="List Paragraph"/>
    <w:basedOn w:val="Normal"/>
    <w:uiPriority w:val="34"/>
    <w:qFormat/>
    <w:rsid w:val="00FF5F5D"/>
    <w:pPr>
      <w:ind w:left="720"/>
      <w:contextualSpacing/>
    </w:pPr>
  </w:style>
  <w:style w:type="character" w:styleId="IntenseEmphasis">
    <w:name w:val="Intense Emphasis"/>
    <w:basedOn w:val="DefaultParagraphFont"/>
    <w:uiPriority w:val="21"/>
    <w:qFormat/>
    <w:rsid w:val="00FF5F5D"/>
    <w:rPr>
      <w:i/>
      <w:iCs/>
      <w:color w:val="0F4761" w:themeColor="accent1" w:themeShade="BF"/>
    </w:rPr>
  </w:style>
  <w:style w:type="paragraph" w:styleId="IntenseQuote">
    <w:name w:val="Intense Quote"/>
    <w:basedOn w:val="Normal"/>
    <w:next w:val="Normal"/>
    <w:link w:val="IntenseQuoteChar"/>
    <w:uiPriority w:val="30"/>
    <w:qFormat/>
    <w:rsid w:val="00FF5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F5D"/>
    <w:rPr>
      <w:i/>
      <w:iCs/>
      <w:color w:val="0F4761" w:themeColor="accent1" w:themeShade="BF"/>
    </w:rPr>
  </w:style>
  <w:style w:type="character" w:styleId="IntenseReference">
    <w:name w:val="Intense Reference"/>
    <w:basedOn w:val="DefaultParagraphFont"/>
    <w:uiPriority w:val="32"/>
    <w:qFormat/>
    <w:rsid w:val="00FF5F5D"/>
    <w:rPr>
      <w:b/>
      <w:bCs/>
      <w:smallCaps/>
      <w:color w:val="0F4761" w:themeColor="accent1" w:themeShade="BF"/>
      <w:spacing w:val="5"/>
    </w:rPr>
  </w:style>
  <w:style w:type="table" w:styleId="TableGrid">
    <w:name w:val="Table Grid"/>
    <w:basedOn w:val="TableNormal"/>
    <w:uiPriority w:val="39"/>
    <w:rsid w:val="00B85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5932"/>
    <w:rPr>
      <w:color w:val="467886" w:themeColor="hyperlink"/>
      <w:u w:val="single"/>
    </w:rPr>
  </w:style>
  <w:style w:type="paragraph" w:styleId="Revision">
    <w:name w:val="Revision"/>
    <w:hidden/>
    <w:uiPriority w:val="99"/>
    <w:semiHidden/>
    <w:rsid w:val="000D04EF"/>
    <w:pPr>
      <w:spacing w:after="0" w:line="240" w:lineRule="auto"/>
    </w:pPr>
    <w:rPr>
      <w:lang w:eastAsia="en-US"/>
    </w:rPr>
  </w:style>
  <w:style w:type="character" w:styleId="CommentReference">
    <w:name w:val="annotation reference"/>
    <w:basedOn w:val="DefaultParagraphFont"/>
    <w:uiPriority w:val="99"/>
    <w:semiHidden/>
    <w:unhideWhenUsed/>
    <w:rsid w:val="000D04EF"/>
    <w:rPr>
      <w:sz w:val="16"/>
      <w:szCs w:val="16"/>
    </w:rPr>
  </w:style>
  <w:style w:type="paragraph" w:styleId="CommentText">
    <w:name w:val="annotation text"/>
    <w:basedOn w:val="Normal"/>
    <w:link w:val="CommentTextChar"/>
    <w:uiPriority w:val="99"/>
    <w:unhideWhenUsed/>
    <w:rsid w:val="000D04EF"/>
    <w:pPr>
      <w:spacing w:line="240" w:lineRule="auto"/>
    </w:pPr>
    <w:rPr>
      <w:sz w:val="20"/>
      <w:szCs w:val="20"/>
      <w:lang w:eastAsia="en-US"/>
    </w:rPr>
  </w:style>
  <w:style w:type="character" w:customStyle="1" w:styleId="CommentTextChar">
    <w:name w:val="Comment Text Char"/>
    <w:basedOn w:val="DefaultParagraphFont"/>
    <w:link w:val="CommentText"/>
    <w:uiPriority w:val="99"/>
    <w:rsid w:val="000D04EF"/>
    <w:rPr>
      <w:sz w:val="20"/>
      <w:szCs w:val="20"/>
      <w:lang w:eastAsia="en-US"/>
    </w:rPr>
  </w:style>
  <w:style w:type="paragraph" w:styleId="CommentSubject">
    <w:name w:val="annotation subject"/>
    <w:basedOn w:val="CommentText"/>
    <w:next w:val="CommentText"/>
    <w:link w:val="CommentSubjectChar"/>
    <w:uiPriority w:val="99"/>
    <w:semiHidden/>
    <w:unhideWhenUsed/>
    <w:rsid w:val="000D04EF"/>
    <w:rPr>
      <w:b/>
      <w:bCs/>
    </w:rPr>
  </w:style>
  <w:style w:type="character" w:customStyle="1" w:styleId="CommentSubjectChar">
    <w:name w:val="Comment Subject Char"/>
    <w:basedOn w:val="CommentTextChar"/>
    <w:link w:val="CommentSubject"/>
    <w:uiPriority w:val="99"/>
    <w:semiHidden/>
    <w:rsid w:val="000D04EF"/>
    <w:rPr>
      <w:b/>
      <w:bCs/>
      <w:sz w:val="20"/>
      <w:szCs w:val="20"/>
      <w:lang w:eastAsia="en-US"/>
    </w:rPr>
  </w:style>
  <w:style w:type="paragraph" w:styleId="Header">
    <w:name w:val="header"/>
    <w:basedOn w:val="Normal"/>
    <w:link w:val="HeaderChar"/>
    <w:uiPriority w:val="99"/>
    <w:unhideWhenUsed/>
    <w:rsid w:val="000D04EF"/>
    <w:pPr>
      <w:tabs>
        <w:tab w:val="center" w:pos="4513"/>
        <w:tab w:val="right" w:pos="9026"/>
      </w:tabs>
      <w:spacing w:after="0" w:line="240" w:lineRule="auto"/>
    </w:pPr>
    <w:rPr>
      <w:lang w:eastAsia="en-US"/>
    </w:rPr>
  </w:style>
  <w:style w:type="character" w:customStyle="1" w:styleId="HeaderChar">
    <w:name w:val="Header Char"/>
    <w:basedOn w:val="DefaultParagraphFont"/>
    <w:link w:val="Header"/>
    <w:uiPriority w:val="99"/>
    <w:rsid w:val="000D04EF"/>
    <w:rPr>
      <w:lang w:eastAsia="en-US"/>
    </w:rPr>
  </w:style>
  <w:style w:type="paragraph" w:styleId="Footer">
    <w:name w:val="footer"/>
    <w:basedOn w:val="Normal"/>
    <w:link w:val="FooterChar"/>
    <w:uiPriority w:val="99"/>
    <w:unhideWhenUsed/>
    <w:rsid w:val="000D04EF"/>
    <w:pPr>
      <w:tabs>
        <w:tab w:val="center" w:pos="4513"/>
        <w:tab w:val="right" w:pos="9026"/>
      </w:tabs>
      <w:spacing w:after="0" w:line="240" w:lineRule="auto"/>
    </w:pPr>
    <w:rPr>
      <w:lang w:eastAsia="en-US"/>
    </w:rPr>
  </w:style>
  <w:style w:type="character" w:customStyle="1" w:styleId="FooterChar">
    <w:name w:val="Footer Char"/>
    <w:basedOn w:val="DefaultParagraphFont"/>
    <w:link w:val="Footer"/>
    <w:uiPriority w:val="99"/>
    <w:rsid w:val="000D04E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ndardsreview@ohsc.org.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74</Pages>
  <Words>12536</Words>
  <Characters>71460</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Ntombizodwa Kobuwe</dc:creator>
  <cp:keywords/>
  <dc:description/>
  <cp:lastModifiedBy>Jabu Nkambule</cp:lastModifiedBy>
  <cp:revision>100</cp:revision>
  <dcterms:created xsi:type="dcterms:W3CDTF">2026-10-06T08:40:00Z</dcterms:created>
  <dcterms:modified xsi:type="dcterms:W3CDTF">2026-10-09T10:42:00Z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6d516909-66d5-489d-87af-0cfaae568bc6</vt:lpwstr>
  </property>
</Properties>
</file>